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t xml:space="preserve">АНАЛИТИЧЕСКАЯ СПРАВКА</w:t>
      </w: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t xml:space="preserve">о результатах </w:t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t xml:space="preserve">антикоррупционного</w:t>
      </w: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t xml:space="preserve"> мониторинга,</w:t>
      </w: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  <w:t xml:space="preserve">проведенного государственными органами Томской области в 2025 году</w:t>
      </w: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</w:p>
    <w:p>
      <w:pPr>
        <w:spacing w:after="0" w:line="240" w:lineRule="auto"/>
        <w:rPr>
          <w:rFonts w:ascii="PT Astra Serif" w:hAnsi="PT Astra Serif" w:eastAsia="Times New Roman" w:cs="Times New Roman"/>
          <w:b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1. Анализ жалоб и обращений физических и юридических лиц </w:t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о фактах совершения коррупционных правонарушений</w:t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pP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2025 году в Администрацию Томской области поступило 89 обращений                 от граждан и организаций, содержащих информацию о коррупционных правонарушениях. Из всех 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бращений в отчетном периоде непосредственно                        от заявителей поступило 53 обращения, в том числе 6 коллективных обращений                  и 6 анонимных обращений. 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Из Администрации Президента Российской Федерации поступило 6 обращений; 23 обращения -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из прокуратуры Томской области; 3 обращения - из следственного управления Следственного комитета Российской Федерации по Томской области;                 1 обращение - из УФСБ России по Томской области; 2 обращения - от депутатов орг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анов местного самоуправления; 1 - запрос СМИ.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Обращения общественных объединений в отчетном периоде на рассмотрение            не поступали.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2025 году поступило 32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повторных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обращения, содержащие вопросы, ранее рассмотренные исполнительными органами Томс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кой области.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 результатам рассмотрения повторных обращений фактов, свидетельствующих о нарушении должностными лицами исполнительных органов Томской области требований законодательства, не установлено.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рамках рассмотренных обращений 62 заявителям даны р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азъяснения                  по сути доводов, изложенных в обращениях, фактов коррупционных правонарушений  установлено не было; по 1 обращению ответственному должностному лицу рекомендовано провести профилактическую беседу о необходимости соблюдения  норм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этики и служебного поведения государственных гражданских служащих     Томской области; по 4 обращениям доводы, изложенные заявителем, не нашли своего подтверждения;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8 обращений перенаправлены в прокуратуру Томской области,           УМВД России по Томской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области, Управление С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удебного департамента                      по Томской области, УФСБ России по Томской области, Департамент государственной гражданской службы Администрации Томской области; 6 обращений поступили                    в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Администрацию Томской области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для сведения и учета в работ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е; по 3 обращениям доводы подтвердились, приняты меры реагирования;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по 2 обращениям назначены проверки: по результатам проверки о нарушении требований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антикоррупционного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законодательства подтвердить либо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опровергнуть наличие коррупционной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составляющей в де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йствиях должностного лица не представилось возможным в связи              с прекращением трудовых отношений с последним; по результатам п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роверки                      по фактам, изложенным в коллективном обращении об использовании должностными лицами служебного положения,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я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елям даны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р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азъяс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нения по сути доводов, изложенных в обращении, фактов коррупционных правонарушений не  установлено.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конец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отчетного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периода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на рассмотрении в Департаменте по профилактике коррупционных и иных правонарушений Администрации Томской области находилось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3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обращени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я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заявител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ей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Анализ организации работы с обращениями граждан и организаций показал,             что рассмотр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ение обращений осуществляется в соответствии с действующим законодательством, нарушений сроков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рассмотрения не допущено. Решений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 прекращении переписки не принималось.</w:t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highlight w:val="non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Фактов, свидетельствующих о коррупционных правонарушениях,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не установлено.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spacing w:after="0" w:line="240" w:lineRule="auto"/>
        <w:shd w:val="clear" w:color="auto" w:fill="ffffff" w:themeFill="background1"/>
        <w:rPr>
          <w:rFonts w:ascii="PT Astra Serif" w:hAnsi="PT Astra Serif" w:eastAsia="Times New Roman" w:cs="Times New Roman"/>
          <w:b/>
          <w:sz w:val="26"/>
          <w:szCs w:val="26"/>
        </w:rPr>
      </w:pP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  <w:r>
        <w:rPr>
          <w:rFonts w:ascii="PT Astra Serif" w:hAnsi="PT Astra Serif" w:eastAsia="Times New Roman" w:cs="Times New Roman"/>
          <w:b/>
          <w:sz w:val="26"/>
          <w:szCs w:val="26"/>
        </w:rPr>
      </w:r>
    </w:p>
    <w:p>
      <w:pPr>
        <w:jc w:val="center"/>
        <w:spacing w:after="0" w:line="240" w:lineRule="auto"/>
        <w:shd w:val="clear" w:color="auto" w:fill="ffffff" w:themeFill="background1"/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Изучение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и анализ принимаемых государственными органами </w:t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r>
    </w:p>
    <w:p>
      <w:pPr>
        <w:jc w:val="center"/>
        <w:spacing w:after="0" w:line="240" w:lineRule="auto"/>
        <w:shd w:val="clear" w:color="auto" w:fill="ffffff" w:themeFill="background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Томской области мер по противодействию коррупции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2. Штатная численность должностных лиц, ответственных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sz w:val="26"/>
          <w:szCs w:val="26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за профилактику коррупционных и иных правонарушений</w:t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2025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году штатная численность должностных лиц, ответственных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за профилактику коррупционных и иных правонарушений в органах государственной власти Томской области, составила 99 штатных единиц, в том числе в Департаменте      по профилактике коррупционных и ины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х правонарушений Администрации              Томской области 16 штатных единиц.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целях осуществления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антикоррупционной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работы в органах государственной власти Томской области приняты следующие меры: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 в пределах штатной численности указанных органов из чис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ла специалистов кадровых и юридических подразделений назначены должностные лица, ответственные за профилактику коррупционных и иных правонарушений;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 из числа специалистов юридических подразделений указанных органов назначены лица, осуществляющие правовое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сопровождение деятельности лиц, ответственных за профилактику коррупционных и иных правонарушений;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 из числа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заместителей руководителей органов государственной власти Томской области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назначены лица, осуществляющие текущий контроль за деятельностью лиц, от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ветственных за профилактику коррупционных и иных правонарушений, а также анализ состояния и эффективности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антикоррупционной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работы в указанных органах;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назначены лица, ответственные в органах государственной власти            Томской области за направлен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ие в Администрацию Томской области сведений                 для включения в реестр лиц, уволенных в связи с утратой доверия в соответствии              с постановлением Правительства Российской Федерации от 05.03.2018 № 228                  «О реестре лиц,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уволенных в связи с утратой доверия».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должностные регламенты указанных должностных лиц внесены положения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об ответственности за состояние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антикоррупционной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работы в соответствующих органах.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 основании пункта 1.11 мероприятий региональной программы про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тиводействия коррупции в Томской области на 2025-2028 годы, утвержденной распоряжением Администрации Томской области от 10.02.2025 № 90-ра, </w:t>
      </w:r>
      <w:r>
        <w:rPr>
          <w:rFonts w:ascii="PT Astra Serif" w:hAnsi="PT Astra Serif" w:cs="Times New Roman"/>
          <w:sz w:val="26"/>
          <w:szCs w:val="26"/>
        </w:rPr>
        <w:t xml:space="preserve">государственными органами Томской области в текущем режиме (на постоянной основе) осуществляется информирование Де</w:t>
      </w:r>
      <w:r>
        <w:rPr>
          <w:rFonts w:ascii="PT Astra Serif" w:hAnsi="PT Astra Serif" w:cs="Times New Roman"/>
          <w:sz w:val="26"/>
          <w:szCs w:val="26"/>
        </w:rPr>
        <w:t xml:space="preserve">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правонарушений.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Департаменте по профилактике коррупционных и иных правонарушений Ад</w:t>
      </w:r>
      <w:r>
        <w:rPr>
          <w:rFonts w:ascii="PT Astra Serif" w:hAnsi="PT Astra Serif" w:cs="Times New Roman"/>
          <w:sz w:val="26"/>
          <w:szCs w:val="26"/>
        </w:rPr>
        <w:t xml:space="preserve">министрации Томской области создан и ведется реестр лиц, ответственных </w:t>
      </w:r>
      <w:r>
        <w:rPr>
          <w:rFonts w:ascii="PT Astra Serif" w:hAnsi="PT Astra Serif" w:cs="Times New Roman"/>
          <w:sz w:val="26"/>
          <w:szCs w:val="26"/>
        </w:rPr>
        <w:br/>
        <w:t xml:space="preserve">за профилактику коррупционных и иных правонарушений в государственных органах Томской области.  </w:t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sz w:val="26"/>
          <w:szCs w:val="26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3. Общая численность государственных гражданских служащих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Томской области, подающих св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едения о доходах, расходах,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об имуществе и обязательствах имущественного характера</w:t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  <w:r>
        <w:rPr>
          <w:rFonts w:ascii="PT Astra Serif" w:hAnsi="PT Astra Serif" w:eastAsia="Times New Roman" w:cs="Times New Roman"/>
          <w:b/>
          <w:bCs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highlight w:val="white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соответствии со статьей 8 Федерального закона от 25 декабря 2008 года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№ 273-ФЗ «О противодействии коррупции», статьей 20 Федерального закона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от 27 июля 2004 года № 79-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ФЗ «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 государственной гражданской службе Российской Федерации» на государственных гражданских служащих, должности которых включены в утвержденные нормативными правовыми актами перечни, возложена обязанность по предоставлению сведений о своих доходах, расходах,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об имуществе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и обязательствах имущественного характера, 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также сведений о доходах, расходах,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об имуществе и обязательствах имущественного характера своих супруг (супругов)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и несовершеннолетних детей.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Перечни соответствующих должностей государственной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гражданской службы Томской области утверждены Законом Томской области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от 9 декабря 2005 года № 231-ОЗ «О государственной гражданской службе Томской области», а также правовыми актами органов государственной власти Томской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области.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highlight w:val="whit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В органах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 г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осударственной власти Томской области в 2025 году штатная численность государственных гражданских служащих, подающих сведения о доходах, расходах, об имуществе и обязательствах имущественного характера, составила               1418 единиц (в 2024 году – 14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06 единиц). Изменение численности государственных гражданских служащих Томской области, обязанных представлять данные сведения, связано с изменением штатного расписания, а также актуализацией перечня должностей государственной гражданской</w:t>
      </w:r>
      <w:r>
        <w:rPr>
          <w:rFonts w:ascii="PT Astra Serif" w:hAnsi="PT Astra Serif" w:eastAsia="Times New Roman" w:cs="Times New Roman"/>
          <w:sz w:val="26"/>
          <w:szCs w:val="26"/>
          <w:highlight w:val="white"/>
          <w:lang w:eastAsia="ru-RU"/>
        </w:rPr>
        <w:t xml:space="preserve"> службы, замещение которых связано                      с коррупционными рисками.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highlight w:val="white"/>
        </w:rPr>
      </w:pP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4.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Количество и результаты проверок достоверности и полноты сведений, представляемых лицами, замещающими государственные должности Томской области, должности государственной гражданской службы Т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омской области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в государственных органах Томской области, гражданами, претендующими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на замещение данных должностей (в соответствии с </w:t>
      </w:r>
      <w:hyperlink r:id="rId11" w:tooltip="consultantplus://offline/ref=C2B04D536F06DD290E9E538EE62FD6CDC2751921632421B8930E491E4E70435633AFAE28A429CE532017BD1D97DF7C0580qBSFJ" w:history="1">
        <w:r>
          <w:rPr>
            <w:rFonts w:ascii="PT Astra Serif" w:hAnsi="PT Astra Serif" w:eastAsia="Times New Roman" w:cs="Times New Roman"/>
            <w:b/>
            <w:i/>
            <w:sz w:val="26"/>
            <w:szCs w:val="26"/>
            <w:lang w:eastAsia="ru-RU"/>
          </w:rPr>
          <w:t xml:space="preserve">Законом</w:t>
        </w:r>
      </w:hyperlink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 Томской области от 19 июня 2006 года № 125-ОЗ «О правовом статусе лиц, замещающих го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сударственные должности Томской области», </w:t>
      </w:r>
      <w:hyperlink r:id="rId12" w:tooltip="consultantplus://offline/ref=C2B04D536F06DD290E9E538EE62FD6CDC2751921632421B8920F491E4E70435633AFAE28A429CE532017BD1D97DF7C0580qBSFJ" w:history="1">
        <w:r>
          <w:rPr>
            <w:rFonts w:ascii="PT Astra Serif" w:hAnsi="PT Astra Serif" w:eastAsia="Times New Roman" w:cs="Times New Roman"/>
            <w:b/>
            <w:i/>
            <w:sz w:val="26"/>
            <w:szCs w:val="26"/>
            <w:lang w:eastAsia="ru-RU"/>
          </w:rPr>
          <w:t xml:space="preserve">Законом</w:t>
        </w:r>
      </w:hyperlink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 Томской области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от 9 декабря 2005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 года № 231-ОЗ «О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государственной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i/>
          <w:sz w:val="26"/>
          <w:szCs w:val="26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гражданской службе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Томской области»)</w:t>
      </w:r>
      <w:r>
        <w:rPr>
          <w:rFonts w:ascii="PT Astra Serif" w:hAnsi="PT Astra Serif" w:eastAsia="Times New Roman" w:cs="Times New Roman"/>
          <w:b/>
          <w:i/>
          <w:sz w:val="26"/>
          <w:szCs w:val="26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В отчетном периоде в органах государственной власти Томской области</w:t>
      </w:r>
      <w:r>
        <w:rPr>
          <w:rFonts w:ascii="PT Astra Serif" w:hAnsi="PT Astra Serif"/>
          <w:sz w:val="26"/>
          <w:szCs w:val="26"/>
          <w:highlight w:val="white"/>
        </w:rPr>
        <w:t xml:space="preserve"> организовано проведение 36 проверок достоверности и полноты сведений о доходах, расходах, об имуществе и обязательствах имущественного характера, из них:  </w:t>
      </w: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</w:p>
    <w:tbl>
      <w:tblPr>
        <w:tblStyle w:val="905"/>
        <w:tblW w:w="8930" w:type="dxa"/>
        <w:tblInd w:w="81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8222"/>
      </w:tblGrid>
      <w:tr>
        <w:tblPrEx/>
        <w:trPr/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11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по профилактике коррупционных и иных правонарушений Администрации Томской области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 (в отношении государственных гражданских служащих Администрации Томской области, руководителей исполнительных органов Томской области); 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6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градостроительного развития Томской области;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инвестиционной и промышленной пол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итики Томской области;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образования Томской области;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3 -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лесного хозяйства Томской области;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1 -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природных ресурсов и охраны окружающей среды Томской области;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1186"/>
        </w:trPr>
        <w:tc>
          <w:tcPr>
            <w:tcW w:w="70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2 -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3 -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  <w:tc>
          <w:tcPr>
            <w:tcW w:w="822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Департаментом транспорта, дорожной деятельности и связи Томской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области; 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Инспекцией государственного технического надзора Томской области;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 Cyr"/>
                <w:sz w:val="26"/>
                <w:szCs w:val="26"/>
                <w:highlight w:val="white"/>
              </w:rPr>
              <w:t xml:space="preserve">Законодательной Думой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 Cyr"/>
                <w:sz w:val="26"/>
                <w:szCs w:val="26"/>
                <w:highlight w:val="white"/>
              </w:rPr>
              <w:t xml:space="preserve">Томской области</w:t>
            </w:r>
            <w:r>
              <w:rPr>
                <w:rFonts w:ascii="PT Astra Serif" w:hAnsi="PT Astra Serif" w:cs="PT Astra Serif Cyr"/>
                <w:sz w:val="26"/>
                <w:szCs w:val="26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 результатам проверок достоверности и полноты сведений о доходах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в органах государственной власти Томской области меры ответственности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 коррупци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онные правонарушения применены в отношении 16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гражданских служащих, в том числе руководителей исполнительных органов Томской области:                3 – в виде выговора; 13 – в виде замечания.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отношении 1 лица,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замещающего государственную должность Томской области, применена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мера ответственности в виде замечания.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связи с подтвержденными нарушениями, выявленными при анализе справок о доходах, а также признанием факта совершения коррупционного правонарушения              и дачи согласия на применение взыскания в упрощенном порядке, предусмотренном частью 1 статьи 5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9.3 Федерального закона от 27 июля 2004 года № 79-ФЗ                        «О государственной гражданской службе Российской Федерации», 8 государственных  гражданских служащих привлечены к юридической ответственности: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4 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– 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виде выговора (в Департаменте</w:t>
      </w:r>
      <w:hyperlink r:id="rId13" w:tooltip="https://molodezh.tomsk.gov.ru/" w:history="1"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 по</w:t>
        </w:r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 молодежной политике Томской области</w:t>
        </w:r>
      </w:hyperlink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);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4 – в виде замечания (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hyperlink r:id="rId14" w:tooltip="http://dor.tomsk.gov.ru/" w:history="1"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в Департаменте охотничьего и рыбного хозяйства Томской области, </w:t>
        </w:r>
      </w:hyperlink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Департаменте лесного хозяйства Томской области)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i/>
          <w:sz w:val="26"/>
          <w:szCs w:val="26"/>
        </w:rPr>
      </w:pPr>
      <w:r>
        <w:rPr>
          <w:rFonts w:ascii="PT Astra Serif" w:hAnsi="PT Astra Serif" w:eastAsia="Calibri" w:cs="Times New Roman"/>
          <w:b/>
          <w:i/>
          <w:sz w:val="26"/>
          <w:szCs w:val="26"/>
        </w:rPr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i/>
          <w:sz w:val="26"/>
          <w:szCs w:val="26"/>
        </w:rPr>
      </w:pPr>
      <w:r>
        <w:rPr>
          <w:rFonts w:ascii="PT Astra Serif" w:hAnsi="PT Astra Serif" w:eastAsia="Calibri" w:cs="Times New Roman"/>
          <w:b/>
          <w:i/>
          <w:sz w:val="26"/>
          <w:szCs w:val="26"/>
        </w:rPr>
        <w:t xml:space="preserve">5. Количество и результаты проверок соблюдения лицами, замещающими государственные должности Томской области, должности государств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  <w:t xml:space="preserve">енной гражданской службы Томской области в государственных органах 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  <w:br/>
        <w:t xml:space="preserve">Томской области, установленных ограничений, запретов, требований 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  <w:br/>
        <w:t xml:space="preserve">о предотвращении и урегулировании конфликта интересов, исполнения 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i/>
          <w:sz w:val="26"/>
          <w:szCs w:val="26"/>
        </w:rPr>
      </w:pPr>
      <w:r>
        <w:rPr>
          <w:rFonts w:ascii="PT Astra Serif" w:hAnsi="PT Astra Serif" w:eastAsia="Calibri" w:cs="Times New Roman"/>
          <w:b/>
          <w:i/>
          <w:sz w:val="26"/>
          <w:szCs w:val="26"/>
        </w:rPr>
        <w:t xml:space="preserve">ими должностных обязанностей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отчетном периоде в орган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ах государственной власти Томской области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проведены 2 проверки соблюдения гражданскими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федеральными з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аконами в целях противодействия коррупции, из них:  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2 - Департаментом по профилактике коррупционных и иных правонарушений Администрации Томской области (за непринятие мер по предотвращению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и урегулированию конфликта интересов).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Результаты проверок рассмо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трены на заседаниях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                  в Администрации Томской области либо являющихся руководител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ями исполнительных органов Томской области, и урегулированию конфликта интересов (далее – Комиссия). На основании распоряжения Губернатора Томской области                       к 1 государственному гражданскому служащему Томской области применена мера отве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тственности за коррупционные правонарушения в виде предупреждения                         о неполном должностном соответствии.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Также в 2025 году от государственных гражданских служащих Томской области поступило 23 уведомления о возможном возникновении личной заинтересованности при исполнении должностных обязанностей, которая приводит или может привести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к конфликту интересов, из н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их: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6 – в Администрацию Томской области;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1 – в </w:t>
      </w:r>
      <w:hyperlink r:id="rId15" w:tooltip="http://depzhkh.tomsk.gov.ru/" w:history="1"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Департамент ЖКХ и государственного жилищного надзора Томской области</w:t>
        </w:r>
      </w:hyperlink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;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1 – в </w:t>
      </w:r>
      <w:hyperlink r:id="rId16" w:tooltip="http://depzdrav.tomsk.gov.ru/" w:history="1"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Департамент здравоохранения Томской области</w:t>
        </w:r>
      </w:hyperlink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; 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/>
      <w:hyperlink r:id="rId17" w:tooltip="http://deples.tomsk.gov.ru/" w:history="1"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3 – в Департамент лесного хозяйства Томской области</w:t>
        </w:r>
      </w:hyperlink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; 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7 – в Департамент образования Томской области;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5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– в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hyperlink r:id="rId18" w:tooltip="http://deples.tomsk.gov.ru/" w:history="1">
        <w:r>
          <w:rPr>
            <w:rFonts w:ascii="PT Astra Serif" w:hAnsi="PT Astra Serif" w:eastAsia="Times New Roman" w:cs="Times New Roman"/>
            <w:sz w:val="26"/>
            <w:szCs w:val="26"/>
            <w:lang w:eastAsia="ru-RU"/>
          </w:rPr>
          <w:t xml:space="preserve">Департамент лесного хозяйства Томской области</w:t>
        </w:r>
      </w:hyperlink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. 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10 уведомлений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рассмотрены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на заседаниях комиссий по соблюдению требований к служебному поведению государственных гражданских служащих и уре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гулированию конфликта интересов. 13 уведомлений рассмотрены представителями нанимателей (работодателями) государственных гражданских служащих. В 10 случаях приняты меры по урегулированию конфликта интересов или по недопущению его возникновения, в 13 случая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х представителями нанимателей (работодателями)  приняты решения, что личная заинтересованность, которая может привести к конфликту интересов, отсутствует.</w:t>
      </w:r>
      <w:r>
        <w:rPr>
          <w:rFonts w:ascii="PT Astra Serif" w:hAnsi="PT Astra Serif" w:eastAsia="Times New Roman" w:cs="Times New Roman"/>
          <w:sz w:val="26"/>
          <w:szCs w:val="26"/>
        </w:rPr>
      </w:r>
      <w:r>
        <w:rPr>
          <w:rFonts w:ascii="PT Astra Serif" w:hAnsi="PT Astra Serif" w:eastAsia="Times New Roman" w:cs="Times New Roman"/>
          <w:sz w:val="26"/>
          <w:szCs w:val="26"/>
        </w:rPr>
      </w:r>
    </w:p>
    <w:p>
      <w:pPr>
        <w:jc w:val="both"/>
        <w:spacing w:after="0" w:line="240" w:lineRule="auto"/>
        <w:shd w:val="clear" w:color="auto" w:fill="ffffff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6. Наличие результатов информирования лиц, замещающих государственные должности Томской области, должности государственной гражданской службы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в государственных органах Томской области, граждан, претендующих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на замещение данных должностей, об ограничениях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, запретах, обязанностях, установленных Федеральным </w:t>
      </w:r>
      <w:hyperlink r:id="rId19" w:tooltip="consultantplus://offline/ref=701E60AFF2B2A5310DA21FE73DDAC5EA944432A4789607D114552FD11A91A6B14D4C818D86D04EF1D14EC40AF0n2dAE" w:history="1">
        <w:r>
          <w:rPr>
            <w:rFonts w:ascii="PT Astra Serif" w:hAnsi="PT Astra Serif" w:eastAsia="Times New Roman" w:cs="Times New Roman"/>
            <w:b/>
            <w:i/>
            <w:sz w:val="26"/>
            <w:szCs w:val="26"/>
            <w:lang w:eastAsia="ru-RU"/>
          </w:rPr>
          <w:t xml:space="preserve">законом</w:t>
        </w:r>
      </w:hyperlink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 от 25 декабря 2008 года № 273-ФЗ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«О противодействии коррупции», иными федеральными законами,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законами Томской области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2025 году 160 государственных гражданских служащих Т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омской области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должностные обязанности которых входит участие в противодействии коррупции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проведение закупок товаров, работ, услуг для обеспечения государственных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муниципальных нужд, прошли повышение квалификации по следующим темам: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«Формирование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антикоррупционной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компетентности государственного гражданского служащего»;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«Контрактная система в сфере закупок товаров, работ и услуг                              для обеспечения государственных и муниципальных нужд»;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«Профилактика коррупционных и иных правонарушений на государственной гражданской службе»;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«Управление в сфере закупок товаров, работ, услуг для обеспечения государственных и муниципальных нужд»;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Профилактика коррупционных и иных правонарушений на государственной гражданской службе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«Правовые ос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новы противодействия коррупции»;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 «Управление в сфере предупреждения коррупционных правонарушений»;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«Основы профилактики коррупции (в части основ профессиональной деятельности специалиста в сфере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предупреждения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коррупционных правонарушений);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«Функции подразделений по профилактике коррупционных и иных правонарушений»;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 «Предупреждение коррупции в организациях».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52 лица, впервые поступившие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2025 году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на государственную гражданскую службу Томской области, приняли участие в мероприятиях по профессиональному развитию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Томской области по вопросам противодействия коррупции.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Кроме того, в отчетном периоде 220 государственных гражданских служащих Томской области приняли участие в мероприятиях по профессиональному развитию                   в области противодействия коррупции по следующим темам: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«Вопросы противодействия коррупции на государственной службе»;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 «Противодействие коррупции в Российской Федерации»;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«Порядок заполнения справок о доходах, расходах, об имуществе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обязательствах имущественного характера за 2024 год»;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- «Практические вопросы профилактики коррупционных правонарушений. Профилактика коррупционных правонарушений на государственной гражданской службе. Конфликт интересов на государственной гражданской службе» и др.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Обучение проводилось на базах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ОГБУ «Томский региональный ресурсный центр» (Корпоративный университет управления Администрации Томской области),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Национальный исследовательский университет «Высшая школа экономики»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(г.Москва), ФГБОУДПО «Российская инженерная академия менеджмента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 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агробизнеса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»,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АНО ДПО «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Дистантия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» в рамках государственного задания, а также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на базе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АНО ДПО «Первый федеральный университет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антикоррупционного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просвещения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»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и ЧУДПО «Институт повышения квалификации «Эксперт».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Для государственных гражданских служащих Томской области разработаны следующие методические материалы: 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- презентация по порядку заполнения справок о доходах, расходах, об имуществе                    и обязательствах имущественного характера государственными гражданскими служащими Томской области за 2024 год;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- памятка для государственных гражданских служащих Томской области, замещающих должности в Администрации Томской области, и руководителей исполнительных органов Томской области по вопросам применения </w:t>
      </w:r>
      <w:r>
        <w:rPr>
          <w:rFonts w:ascii="PT Astra Serif" w:hAnsi="PT Astra Serif" w:eastAsia="Calibri" w:cs="Times New Roman"/>
          <w:sz w:val="26"/>
          <w:szCs w:val="26"/>
        </w:rPr>
        <w:t xml:space="preserve">антикоррупционного</w:t>
      </w:r>
      <w:r>
        <w:rPr>
          <w:rFonts w:ascii="PT Astra Serif" w:hAnsi="PT Astra Serif" w:eastAsia="Calibri" w:cs="Times New Roman"/>
          <w:sz w:val="26"/>
          <w:szCs w:val="26"/>
        </w:rPr>
        <w:t xml:space="preserve"> законодательства</w:t>
      </w:r>
      <w:r>
        <w:rPr>
          <w:rFonts w:ascii="PT Astra Serif" w:hAnsi="PT Astra Serif" w:eastAsia="Calibri" w:cs="Times New Roman"/>
          <w:sz w:val="26"/>
          <w:szCs w:val="26"/>
        </w:rPr>
        <w:t xml:space="preserve"> (</w:t>
      </w:r>
      <w:r>
        <w:rPr>
          <w:rFonts w:ascii="PT Astra Serif" w:hAnsi="PT Astra Serif" w:eastAsia="Calibri" w:cs="Times New Roman"/>
          <w:sz w:val="26"/>
          <w:szCs w:val="26"/>
        </w:rPr>
        <w:t xml:space="preserve">совместно с прокуратурой Томской области</w:t>
      </w:r>
      <w:r>
        <w:rPr>
          <w:rFonts w:ascii="PT Astra Serif" w:hAnsi="PT Astra Serif" w:eastAsia="Calibri" w:cs="Times New Roman"/>
          <w:sz w:val="26"/>
          <w:szCs w:val="26"/>
        </w:rPr>
        <w:t xml:space="preserve">)</w:t>
      </w:r>
      <w:r>
        <w:rPr>
          <w:rFonts w:ascii="PT Astra Serif" w:hAnsi="PT Astra Serif" w:eastAsia="Calibri" w:cs="Times New Roman"/>
          <w:sz w:val="26"/>
          <w:szCs w:val="26"/>
        </w:rPr>
        <w:t xml:space="preserve">.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В связи с принятием распоряжения Администрации Томской области </w:t>
      </w:r>
      <w:r>
        <w:rPr>
          <w:rFonts w:ascii="PT Astra Serif" w:hAnsi="PT Astra Serif" w:eastAsia="Calibri" w:cs="Times New Roman"/>
          <w:sz w:val="26"/>
          <w:szCs w:val="26"/>
        </w:rPr>
        <w:br/>
        <w:t xml:space="preserve">от 10.02.2025 № 90-ра «Об утверждении региональной программы противодействия коррупции в Томской области на 2025</w:t>
      </w:r>
      <w:r>
        <w:rPr>
          <w:rFonts w:ascii="PT Astra Serif" w:hAnsi="PT Astra Serif" w:eastAsia="Calibri" w:cs="Times New Roman"/>
          <w:sz w:val="26"/>
          <w:szCs w:val="26"/>
        </w:rPr>
        <w:t xml:space="preserve">-</w:t>
      </w:r>
      <w:r>
        <w:rPr>
          <w:rFonts w:ascii="PT Astra Serif" w:hAnsi="PT Astra Serif" w:eastAsia="Calibri" w:cs="Times New Roman"/>
          <w:sz w:val="26"/>
          <w:szCs w:val="26"/>
        </w:rPr>
        <w:t xml:space="preserve">2028 годы» обновлены следующие методические материалы: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1) памятка по организации работы комиссии по соблюдению требований </w:t>
      </w:r>
      <w:r>
        <w:rPr>
          <w:rFonts w:ascii="PT Astra Serif" w:hAnsi="PT Astra Serif" w:eastAsia="Calibri" w:cs="Times New Roman"/>
          <w:sz w:val="26"/>
          <w:szCs w:val="26"/>
        </w:rPr>
        <w:br/>
        <w:t xml:space="preserve">к служебному поведению и урегулированию конфликта интересов;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2) памятка для лиц, ответственных за работу по профилактике коррупционных </w:t>
      </w:r>
      <w:r>
        <w:rPr>
          <w:rFonts w:ascii="PT Astra Serif" w:hAnsi="PT Astra Serif" w:eastAsia="Calibri" w:cs="Times New Roman"/>
          <w:sz w:val="26"/>
          <w:szCs w:val="26"/>
        </w:rPr>
        <w:br/>
        <w:t xml:space="preserve">и иных правонарушений в исполнительных органах Томской области (совместно с прокуратурой Томской области);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3) памятка для глав муниципальных образований Томской области по вопросу организации </w:t>
      </w:r>
      <w:r>
        <w:rPr>
          <w:rFonts w:ascii="PT Astra Serif" w:hAnsi="PT Astra Serif" w:eastAsia="Calibri" w:cs="Times New Roman"/>
          <w:sz w:val="26"/>
          <w:szCs w:val="26"/>
        </w:rPr>
        <w:t xml:space="preserve">антикоррупционной</w:t>
      </w:r>
      <w:r>
        <w:rPr>
          <w:rFonts w:ascii="PT Astra Serif" w:hAnsi="PT Astra Serif" w:eastAsia="Calibri" w:cs="Times New Roman"/>
          <w:sz w:val="26"/>
          <w:szCs w:val="26"/>
        </w:rPr>
        <w:t xml:space="preserve"> работы;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4) рекомендации по вопросам организации </w:t>
      </w:r>
      <w:r>
        <w:rPr>
          <w:rFonts w:ascii="PT Astra Serif" w:hAnsi="PT Astra Serif" w:eastAsia="Calibri" w:cs="Times New Roman"/>
          <w:sz w:val="26"/>
          <w:szCs w:val="26"/>
        </w:rPr>
        <w:t xml:space="preserve">антикоррупционной</w:t>
      </w:r>
      <w:r>
        <w:rPr>
          <w:rFonts w:ascii="PT Astra Serif" w:hAnsi="PT Astra Serif" w:eastAsia="Calibri" w:cs="Times New Roman"/>
          <w:sz w:val="26"/>
          <w:szCs w:val="26"/>
        </w:rPr>
        <w:t xml:space="preserve"> работы </w:t>
      </w:r>
      <w:r>
        <w:rPr>
          <w:rFonts w:ascii="PT Astra Serif" w:hAnsi="PT Astra Serif" w:eastAsia="Calibri" w:cs="Times New Roman"/>
          <w:sz w:val="26"/>
          <w:szCs w:val="26"/>
        </w:rPr>
        <w:br/>
        <w:t xml:space="preserve">в муниципальных образованиях Томской области;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5) памятка «Обязанности, ограничения и запреты, связанные с гражданской службой».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В 2025 году также актуализированы следующие методические материалы: 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1) методические рек</w:t>
      </w:r>
      <w:r>
        <w:rPr>
          <w:rFonts w:ascii="PT Astra Serif" w:hAnsi="PT Astra Serif" w:eastAsia="Calibri" w:cs="Times New Roman"/>
          <w:sz w:val="26"/>
          <w:szCs w:val="26"/>
        </w:rPr>
        <w:t xml:space="preserve">оме</w:t>
      </w:r>
      <w:r>
        <w:rPr>
          <w:rFonts w:ascii="PT Astra Serif" w:hAnsi="PT Astra Serif" w:eastAsia="Calibri" w:cs="Times New Roman"/>
          <w:sz w:val="26"/>
          <w:szCs w:val="26"/>
        </w:rPr>
        <w:t xml:space="preserve">ндации по обеспечению исполнения лицами, замещающими муниципальные должности, главами местных администраций                     по контракту обязанности по представлению сведений о доходах, расходах, об имуществе и обязательствах имущественного характера; 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2) рекомендации по вопросам организации </w:t>
      </w:r>
      <w:r>
        <w:rPr>
          <w:rFonts w:ascii="PT Astra Serif" w:hAnsi="PT Astra Serif" w:eastAsia="Calibri" w:cs="Times New Roman"/>
          <w:sz w:val="26"/>
          <w:szCs w:val="26"/>
        </w:rPr>
        <w:t xml:space="preserve">антикоррупционной</w:t>
      </w:r>
      <w:r>
        <w:rPr>
          <w:rFonts w:ascii="PT Astra Serif" w:hAnsi="PT Astra Serif" w:eastAsia="Calibri" w:cs="Times New Roman"/>
          <w:sz w:val="26"/>
          <w:szCs w:val="26"/>
        </w:rPr>
        <w:t xml:space="preserve"> работы                       в муниципальных образованиях Томской области; 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3) материалы электронного курса по программе повышения квалификации «Теория и практика государственной гражданской службы» для обучения лиц, впервые принятых на государственную гражданскую службу. 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Кроме этого обновлены кейсы по вопросам соблюдения </w:t>
      </w:r>
      <w:r>
        <w:rPr>
          <w:rFonts w:ascii="PT Astra Serif" w:hAnsi="PT Astra Serif" w:eastAsia="Calibri" w:cs="Times New Roman"/>
          <w:sz w:val="26"/>
          <w:szCs w:val="26"/>
        </w:rPr>
        <w:t xml:space="preserve">антикоррупционного</w:t>
      </w:r>
      <w:r>
        <w:rPr>
          <w:rFonts w:ascii="PT Astra Serif" w:hAnsi="PT Astra Serif" w:eastAsia="Calibri" w:cs="Times New Roman"/>
          <w:sz w:val="26"/>
          <w:szCs w:val="26"/>
        </w:rPr>
        <w:t xml:space="preserve"> законодательства, необходимые для прохождения аттестации государственных гражданских служащих.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Данные методические материалы направлены в органы государственной власти Томской области для использования в работе.</w:t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  <w:highlight w:val="none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Кроме того, Департаментом по профилактике коррупционных и иных правонарушений Администрации Томской области</w:t>
      </w:r>
      <w:r>
        <w:rPr>
          <w:rFonts w:ascii="PT Astra Serif" w:hAnsi="PT Astra Serif" w:eastAsia="Calibri" w:cs="Times New Roman"/>
          <w:sz w:val="26"/>
          <w:szCs w:val="26"/>
        </w:rPr>
        <w:t xml:space="preserve">,</w:t>
      </w:r>
      <w:r>
        <w:rPr>
          <w:rFonts w:ascii="PT Astra Serif" w:hAnsi="PT Astra Serif" w:eastAsia="Calibri" w:cs="Times New Roman"/>
          <w:sz w:val="26"/>
          <w:szCs w:val="26"/>
        </w:rPr>
        <w:t xml:space="preserve"> в целях оказания консультатив</w:t>
      </w:r>
      <w:r>
        <w:rPr>
          <w:rFonts w:ascii="PT Astra Serif" w:hAnsi="PT Astra Serif" w:eastAsia="Calibri" w:cs="Times New Roman"/>
          <w:sz w:val="26"/>
          <w:szCs w:val="26"/>
        </w:rPr>
        <w:t xml:space="preserve">ной и методической помощи, </w:t>
      </w:r>
      <w:r>
        <w:rPr>
          <w:rFonts w:ascii="PT Astra Serif" w:hAnsi="PT Astra Serif" w:eastAsia="Calibri" w:cs="Times New Roman"/>
          <w:sz w:val="26"/>
          <w:szCs w:val="26"/>
        </w:rPr>
        <w:t xml:space="preserve">в течение 202</w:t>
      </w:r>
      <w:r>
        <w:rPr>
          <w:rFonts w:ascii="PT Astra Serif" w:hAnsi="PT Astra Serif" w:eastAsia="Calibri" w:cs="Times New Roman"/>
          <w:sz w:val="26"/>
          <w:szCs w:val="26"/>
        </w:rPr>
        <w:t xml:space="preserve">5</w:t>
      </w:r>
      <w:r>
        <w:rPr>
          <w:rFonts w:ascii="PT Astra Serif" w:hAnsi="PT Astra Serif" w:eastAsia="Calibri" w:cs="Times New Roman"/>
          <w:sz w:val="26"/>
          <w:szCs w:val="26"/>
        </w:rPr>
        <w:t xml:space="preserve"> года в структурные подразделения Администрации Томской области, а также в органы государственной власти </w:t>
      </w:r>
      <w:r>
        <w:rPr>
          <w:rFonts w:ascii="PT Astra Serif" w:hAnsi="PT Astra Serif" w:eastAsia="Calibri" w:cs="Times New Roman"/>
          <w:sz w:val="26"/>
          <w:szCs w:val="26"/>
        </w:rPr>
        <w:t xml:space="preserve">                </w:t>
      </w:r>
      <w:r>
        <w:rPr>
          <w:rFonts w:ascii="PT Astra Serif" w:hAnsi="PT Astra Serif" w:eastAsia="Calibri" w:cs="Times New Roman"/>
          <w:sz w:val="26"/>
          <w:szCs w:val="26"/>
        </w:rPr>
        <w:t xml:space="preserve">Томской области направлялись различные информационные материалы.</w:t>
      </w:r>
      <w:r>
        <w:rPr>
          <w:rFonts w:ascii="PT Astra Serif" w:hAnsi="PT Astra Serif" w:eastAsia="Calibri" w:cs="Times New Roman"/>
          <w:sz w:val="26"/>
          <w:szCs w:val="26"/>
          <w:highlight w:val="none"/>
        </w:rPr>
      </w:r>
      <w:r>
        <w:rPr>
          <w:rFonts w:ascii="PT Astra Serif" w:hAnsi="PT Astra Serif" w:eastAsia="Calibri" w:cs="Times New Roman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  <w:highlight w:val="none"/>
          <w14:ligatures w14:val="none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В 2025 году </w:t>
      </w:r>
      <w:r>
        <w:rPr>
          <w:rFonts w:ascii="PT Astra Serif" w:hAnsi="PT Astra Serif" w:eastAsia="Calibri" w:cs="Times New Roman"/>
          <w:sz w:val="26"/>
          <w:szCs w:val="26"/>
        </w:rPr>
        <w:t xml:space="preserve">Департаментом по профилактике коррупционных и иных правонарушений Администрации Томской области</w:t>
      </w:r>
      <w:r>
        <w:rPr>
          <w:rFonts w:ascii="PT Astra Serif" w:hAnsi="PT Astra Serif" w:eastAsia="Calibri" w:cs="Times New Roman"/>
          <w:sz w:val="26"/>
          <w:szCs w:val="26"/>
        </w:rPr>
        <w:t xml:space="preserve">, совместно с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Департаментом  информационной политики Администрации Томской области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 и прокуратурой  Томской области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подготовлены социальный видеоролик «Россия без коррупции!»                 и 2 </w:t>
      </w:r>
      <w:r>
        <w:rPr>
          <w:rFonts w:ascii="PT Astra Serif" w:hAnsi="PT Astra Serif" w:eastAsia="Calibri" w:cs="Times New Roman"/>
          <w:sz w:val="26"/>
          <w:szCs w:val="26"/>
        </w:rPr>
        <w:t xml:space="preserve">баннера антикоррупционной направленности. </w:t>
      </w:r>
      <w:r>
        <w:rPr>
          <w:rFonts w:ascii="PT Astra Serif" w:hAnsi="PT Astra Serif" w:eastAsia="Calibri" w:cs="Times New Roman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Calibri" w:cs="Times New Roman"/>
          <w:sz w:val="26"/>
          <w:szCs w:val="26"/>
          <w:highlight w:val="none"/>
          <w14:ligatures w14:val="none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  <w:highlight w:val="none"/>
          <w14:ligatures w14:val="none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Данная социальная реклама размещена</w:t>
      </w:r>
      <w:r>
        <w:rPr>
          <w:rFonts w:ascii="PT Astra Serif" w:hAnsi="PT Astra Serif" w:eastAsia="Calibri" w:cs="Times New Roman"/>
          <w:sz w:val="26"/>
          <w:szCs w:val="26"/>
        </w:rPr>
        <w:t xml:space="preserve"> на официальных сайтах органов государственной власти Томской области и подведомственных им учреждений.</w:t>
      </w:r>
      <w:r>
        <w:rPr>
          <w:rFonts w:ascii="PT Astra Serif" w:hAnsi="PT Astra Serif" w:eastAsia="Calibri" w:cs="Times New Roman"/>
          <w:sz w:val="26"/>
          <w:szCs w:val="26"/>
          <w:highlight w:val="none"/>
          <w14:ligatures w14:val="none"/>
        </w:rPr>
      </w:r>
      <w:r>
        <w:rPr>
          <w:rFonts w:ascii="PT Astra Serif" w:hAnsi="PT Astra Serif" w:eastAsia="Calibri" w:cs="Times New Roman"/>
          <w:sz w:val="26"/>
          <w:szCs w:val="26"/>
          <w:highlight w:val="none"/>
          <w14:ligatures w14:val="none"/>
        </w:rPr>
      </w:r>
    </w:p>
    <w:p>
      <w:pPr>
        <w:ind w:firstLine="709"/>
        <w:jc w:val="both"/>
        <w:spacing w:after="0" w:line="240" w:lineRule="auto"/>
        <w:shd w:val="clear" w:color="auto" w:fill="ffffff" w:themeFill="background1"/>
        <w:rPr>
          <w:rFonts w:ascii="PT Astra Serif" w:hAnsi="PT Astra Serif" w:eastAsia="Calibri" w:cs="Times New Roman"/>
          <w:sz w:val="26"/>
          <w:szCs w:val="26"/>
          <w14:ligatures w14:val="none"/>
        </w:rPr>
      </w:pPr>
      <w:r>
        <w:rPr>
          <w:rFonts w:ascii="PT Astra Serif" w:hAnsi="PT Astra Serif" w:eastAsia="Calibri" w:cs="Times New Roman"/>
          <w:sz w:val="26"/>
          <w:szCs w:val="26"/>
          <w14:ligatures w14:val="none"/>
        </w:rPr>
      </w:r>
      <w:r>
        <w:rPr>
          <w:rFonts w:ascii="PT Astra Serif" w:hAnsi="PT Astra Serif" w:eastAsia="Calibri" w:cs="Times New Roman"/>
          <w:sz w:val="26"/>
          <w:szCs w:val="26"/>
          <w14:ligatures w14:val="none"/>
        </w:rPr>
      </w:r>
      <w:r>
        <w:rPr>
          <w:rFonts w:ascii="PT Astra Serif" w:hAnsi="PT Astra Serif" w:eastAsia="Calibri" w:cs="Times New Roman"/>
          <w:sz w:val="26"/>
          <w:szCs w:val="26"/>
          <w14:ligatures w14:val="none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i/>
          <w:sz w:val="26"/>
          <w:szCs w:val="26"/>
        </w:rPr>
      </w:pPr>
      <w:r>
        <w:rPr>
          <w:rFonts w:ascii="PT Astra Serif" w:hAnsi="PT Astra Serif" w:eastAsia="Calibri" w:cs="Times New Roman"/>
          <w:b/>
          <w:i/>
          <w:sz w:val="26"/>
          <w:szCs w:val="26"/>
        </w:rPr>
        <w:t xml:space="preserve">7. Количество правовых актов, принятых госуда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  <w:t xml:space="preserve">рственными органами 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  <w:br/>
        <w:t xml:space="preserve">Томской области в сфере противодействия коррупции в отчетный период</w:t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  <w:r>
        <w:rPr>
          <w:rFonts w:ascii="PT Astra Serif" w:hAnsi="PT Astra Serif" w:eastAsia="Calibri" w:cs="Times New Roman"/>
          <w:b/>
          <w:i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  <w:r>
        <w:rPr>
          <w:rFonts w:ascii="PT Astra Serif" w:hAnsi="PT Astra Serif" w:eastAsia="Calibri" w:cs="Times New Roman"/>
          <w:sz w:val="26"/>
          <w:szCs w:val="26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целях приведения де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 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в 2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025 году разра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ботано 5 правовых актов (распоряжения Администрации                   Томской области), внесены изменения в 11 правовых актов Томской области                        (4 постановления Администрации Томской области, 3 постановления Губернатора Томской области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2 распоряжения Администрации Томской области,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2 распоряжения Губернатора Томской области).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2025 году ор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г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анами государственной власти Томской области принято 88  правовых актов в сфере противодействия коррупции. Принятие органами государственной власти Томской области правовых актов обусловлено необходимостью актуализации имеющихся правовых актов, приведения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их в соответствие с действующим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антикоррупционным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законодательством.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8. Анализ публикаций о коррупции на территории Томской области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br/>
        <w:t xml:space="preserve">в средствах массовой информации 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 данным мониторинга средств массовой информации Томской области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202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5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году Департамент информационной политики Администрации Томской области отмечает преимущественно новостной характер публикаций и сюжетов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по коррупционной тематике, которые в большей степени касаются работы правоохранительных и следственных органов.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число наиболее резонансных тем в отчетном периоде вошли уголовные дела                          в отношении: гражданин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 иностранного государства о покушении на дачу взятки              за получение вида на жительство; участкового лесничего за внесение заведомо ложных сведений о проведении им осмотра лесозаготовительного участка; бывших  заместителя Губернатора Томской обл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асти, главы Томского района и заместителя начальника управления территориального развития администрации Томского района, обвиняемых в злоупотреблении должностными полномочиями при реализации мероприятий национального проекта; врача-терапевта поликлиники в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г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. Стрежевой, оформившей больничный лист здоровому мужчине за вознаграждение;                            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экс-сотрудницы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Депар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тамента информационной политики Администрации              Томской области и директора коммерческой организации, обвиняемых                                в мошенничестве в особо крупном размере при выполнении государственных контрактов; заместителя главно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го врача медицинского учреждения, подозреваемого               в присвоении денежных средств; директора томского муниципального казенного учреждения, который изготовил и подписал приказы о выплате премий и надбавок            за особые условия самому себе;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начальника Департамента по культуре                    Томской области о хищении денежных средств; директора детского оздоровительного лагеря и индивидуального предпринимателя за дачу и получение взятки; инспектора ДПС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за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получение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взятки.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Мониторинг информации о коррупционных проявлениях в деятельности должностных лиц, размещенной в средствах массовой информации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и содержащейся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в поступающих обращ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ениях граждан и юридических лиц,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постоянно осуществляется органами государственной власти Томск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ой области.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i/>
          <w:sz w:val="26"/>
          <w:szCs w:val="26"/>
          <w:highlight w:val="none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9. Анализ исполнения мероприят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ий, предусмотренных планами </w:t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highlight w:val="none"/>
          <w:lang w:eastAsia="ru-RU"/>
        </w:rPr>
      </w:r>
      <w:r>
        <w:rPr>
          <w:rFonts w:ascii="PT Astra Serif" w:hAnsi="PT Astra Serif" w:eastAsia="Times New Roman" w:cs="Times New Roman"/>
          <w:b/>
          <w:bCs/>
          <w:i/>
          <w:sz w:val="26"/>
          <w:szCs w:val="26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  <w:t xml:space="preserve">противодействия коррупции</w:t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b/>
          <w:i/>
          <w:sz w:val="26"/>
          <w:szCs w:val="26"/>
          <w:lang w:eastAsia="ru-RU"/>
        </w:rPr>
      </w:r>
    </w:p>
    <w:p>
      <w:pPr>
        <w:spacing w:after="0" w:line="240" w:lineRule="auto"/>
        <w:rPr>
          <w:rFonts w:ascii="PT Astra Serif" w:hAnsi="PT Astra Serif" w:eastAsia="Times New Roman" w:cs="Times New Roman"/>
          <w:i/>
          <w:sz w:val="20"/>
          <w:szCs w:val="20"/>
        </w:rPr>
      </w:pPr>
      <w:r>
        <w:rPr>
          <w:rFonts w:ascii="PT Astra Serif" w:hAnsi="PT Astra Serif" w:eastAsia="Times New Roman" w:cs="Times New Roman"/>
          <w:i/>
          <w:sz w:val="20"/>
          <w:szCs w:val="20"/>
          <w:lang w:eastAsia="ru-RU"/>
        </w:rPr>
      </w:r>
      <w:r>
        <w:rPr>
          <w:rFonts w:ascii="PT Astra Serif" w:hAnsi="PT Astra Serif" w:eastAsia="Times New Roman" w:cs="Times New Roman"/>
          <w:i/>
          <w:sz w:val="20"/>
          <w:szCs w:val="20"/>
        </w:rPr>
      </w:r>
      <w:r>
        <w:rPr>
          <w:rFonts w:ascii="PT Astra Serif" w:hAnsi="PT Astra Serif" w:eastAsia="Times New Roman" w:cs="Times New Roman"/>
          <w:i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Во исполнение пункта 1.3 региональной программы противодействия коррупции в Томской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области на 2025 - 2028 годы, утвержденной распоряжением Администрации Томской области от 10.02.2025 № 90-ра, во всех органах государственной власти Томской области приняты планы противодействия коррупции.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Ежегодно, в случае необходимости, проводится работа по их корректировке.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выполнением мероприятий, предусмотренных планами, осуществляется на уровне руководителей органов. Резу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льтаты выполнения мероприятий планов представляются руководителю органа, а также рассматриваются на заседаниях комиссий по соблюдению требований к служебному поведению и урегулированию конфликта интересов и размещаются на официальных сайтах органов власти.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</w:r>
    </w:p>
    <w:sectPr>
      <w:headerReference w:type="default" r:id="rId9"/>
      <w:footnotePr/>
      <w:endnotePr/>
      <w:type w:val="nextPage"/>
      <w:pgSz w:w="11907" w:h="16840" w:orient="portrait"/>
      <w:pgMar w:top="1134" w:right="850" w:bottom="1134" w:left="1276" w:header="39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PT Astra Serif Cyr">
    <w:panose1 w:val="020A0603040505020204"/>
  </w:font>
  <w:font w:name="Roboto Condensed">
    <w:panose1 w:val="02000000000000000000"/>
  </w:font>
  <w:font w:name="Cambria">
    <w:panose1 w:val="02040503050406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PAGE   \* MERGEFORMAT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8</w:t>
    </w:r>
    <w:r>
      <w:rPr>
        <w:rFonts w:ascii="PT Astra Serif" w:hAnsi="PT Astra Serif"/>
        <w:b w:val="0"/>
        <w:sz w:val="24"/>
        <w:szCs w:val="24"/>
      </w:rPr>
      <w:fldChar w:fldCharType="end"/>
    </w: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</w:lvl>
    <w:lvl w:ilvl="1">
      <w:start w:val="1"/>
      <w:numFmt w:val="decimal"/>
      <w:isLgl w:val="false"/>
      <w:suff w:val="tab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5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Title Char"/>
    <w:basedOn w:val="697"/>
    <w:link w:val="716"/>
    <w:uiPriority w:val="10"/>
    <w:rPr>
      <w:sz w:val="48"/>
      <w:szCs w:val="48"/>
    </w:rPr>
  </w:style>
  <w:style w:type="character" w:styleId="692">
    <w:name w:val="Subtitle Char"/>
    <w:basedOn w:val="697"/>
    <w:link w:val="718"/>
    <w:uiPriority w:val="11"/>
    <w:rPr>
      <w:sz w:val="24"/>
      <w:szCs w:val="24"/>
    </w:rPr>
  </w:style>
  <w:style w:type="character" w:styleId="693">
    <w:name w:val="Quote Char"/>
    <w:link w:val="720"/>
    <w:uiPriority w:val="29"/>
    <w:rPr>
      <w:i/>
    </w:rPr>
  </w:style>
  <w:style w:type="character" w:styleId="694">
    <w:name w:val="Intense Quote Char"/>
    <w:link w:val="722"/>
    <w:uiPriority w:val="30"/>
    <w:rPr>
      <w:i/>
    </w:rPr>
  </w:style>
  <w:style w:type="character" w:styleId="695">
    <w:name w:val="Endnote Text Char"/>
    <w:link w:val="854"/>
    <w:uiPriority w:val="99"/>
    <w:rPr>
      <w:sz w:val="20"/>
    </w:rPr>
  </w:style>
  <w:style w:type="paragraph" w:styleId="696" w:default="1">
    <w:name w:val="Normal"/>
    <w:qFormat/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Heading 1 Char"/>
    <w:basedOn w:val="697"/>
    <w:link w:val="868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Heading 2 Char"/>
    <w:basedOn w:val="697"/>
    <w:link w:val="869"/>
    <w:uiPriority w:val="9"/>
    <w:rPr>
      <w:rFonts w:ascii="Arial" w:hAnsi="Arial" w:eastAsia="Arial" w:cs="Arial"/>
      <w:sz w:val="34"/>
    </w:rPr>
  </w:style>
  <w:style w:type="character" w:styleId="702" w:customStyle="1">
    <w:name w:val="Heading 3 Char"/>
    <w:basedOn w:val="697"/>
    <w:link w:val="870"/>
    <w:uiPriority w:val="9"/>
    <w:rPr>
      <w:rFonts w:ascii="Arial" w:hAnsi="Arial" w:eastAsia="Arial" w:cs="Arial"/>
      <w:sz w:val="30"/>
      <w:szCs w:val="30"/>
    </w:rPr>
  </w:style>
  <w:style w:type="paragraph" w:styleId="703" w:customStyle="1">
    <w:name w:val="Heading 4"/>
    <w:basedOn w:val="696"/>
    <w:next w:val="696"/>
    <w:link w:val="70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4 Char"/>
    <w:basedOn w:val="697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 w:customStyle="1">
    <w:name w:val="Heading 5"/>
    <w:basedOn w:val="696"/>
    <w:next w:val="696"/>
    <w:link w:val="70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Heading 5 Char"/>
    <w:basedOn w:val="697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 w:customStyle="1">
    <w:name w:val="Heading 6"/>
    <w:basedOn w:val="696"/>
    <w:next w:val="696"/>
    <w:link w:val="70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character" w:styleId="708" w:customStyle="1">
    <w:name w:val="Heading 6 Char"/>
    <w:basedOn w:val="697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 w:customStyle="1">
    <w:name w:val="Heading 7"/>
    <w:basedOn w:val="696"/>
    <w:next w:val="696"/>
    <w:link w:val="71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character" w:styleId="710" w:customStyle="1">
    <w:name w:val="Heading 7 Char"/>
    <w:basedOn w:val="697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 w:customStyle="1">
    <w:name w:val="Heading 8"/>
    <w:basedOn w:val="696"/>
    <w:next w:val="696"/>
    <w:link w:val="71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character" w:styleId="712" w:customStyle="1">
    <w:name w:val="Heading 8 Char"/>
    <w:basedOn w:val="697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 w:customStyle="1">
    <w:name w:val="Heading 9"/>
    <w:basedOn w:val="696"/>
    <w:next w:val="696"/>
    <w:link w:val="71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 w:customStyle="1">
    <w:name w:val="Heading 9 Char"/>
    <w:basedOn w:val="697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  <w:pPr>
      <w:spacing w:after="0" w:line="240" w:lineRule="auto"/>
    </w:pPr>
  </w:style>
  <w:style w:type="paragraph" w:styleId="716">
    <w:name w:val="Title"/>
    <w:basedOn w:val="696"/>
    <w:next w:val="696"/>
    <w:link w:val="717"/>
    <w:uiPriority w:val="10"/>
    <w:qFormat/>
    <w:pPr>
      <w:contextualSpacing/>
      <w:spacing w:before="300"/>
    </w:pPr>
    <w:rPr>
      <w:sz w:val="48"/>
      <w:szCs w:val="48"/>
    </w:rPr>
  </w:style>
  <w:style w:type="character" w:styleId="717" w:customStyle="1">
    <w:name w:val="Название Знак"/>
    <w:basedOn w:val="697"/>
    <w:link w:val="716"/>
    <w:uiPriority w:val="10"/>
    <w:rPr>
      <w:sz w:val="48"/>
      <w:szCs w:val="48"/>
    </w:rPr>
  </w:style>
  <w:style w:type="paragraph" w:styleId="718">
    <w:name w:val="Subtitle"/>
    <w:basedOn w:val="696"/>
    <w:next w:val="696"/>
    <w:link w:val="719"/>
    <w:uiPriority w:val="11"/>
    <w:qFormat/>
    <w:pPr>
      <w:spacing w:before="200"/>
    </w:pPr>
    <w:rPr>
      <w:sz w:val="24"/>
      <w:szCs w:val="24"/>
    </w:rPr>
  </w:style>
  <w:style w:type="character" w:styleId="719" w:customStyle="1">
    <w:name w:val="Подзаголовок Знак"/>
    <w:basedOn w:val="697"/>
    <w:link w:val="718"/>
    <w:uiPriority w:val="11"/>
    <w:rPr>
      <w:sz w:val="24"/>
      <w:szCs w:val="24"/>
    </w:rPr>
  </w:style>
  <w:style w:type="paragraph" w:styleId="720">
    <w:name w:val="Quote"/>
    <w:basedOn w:val="696"/>
    <w:next w:val="696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96"/>
    <w:next w:val="696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97"/>
    <w:link w:val="877"/>
    <w:uiPriority w:val="99"/>
  </w:style>
  <w:style w:type="character" w:styleId="725" w:customStyle="1">
    <w:name w:val="Footer Char"/>
    <w:basedOn w:val="697"/>
    <w:link w:val="879"/>
    <w:uiPriority w:val="99"/>
  </w:style>
  <w:style w:type="paragraph" w:styleId="726" w:customStyle="1">
    <w:name w:val="Caption"/>
    <w:basedOn w:val="696"/>
    <w:next w:val="696"/>
    <w:link w:val="72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7" w:customStyle="1">
    <w:name w:val="Caption Char"/>
    <w:basedOn w:val="697"/>
    <w:link w:val="726"/>
    <w:uiPriority w:val="35"/>
    <w:rPr>
      <w:b/>
      <w:bCs/>
      <w:color w:val="4f81bd" w:themeColor="accent1"/>
      <w:sz w:val="18"/>
      <w:szCs w:val="18"/>
    </w:rPr>
  </w:style>
  <w:style w:type="table" w:styleId="728" w:customStyle="1">
    <w:name w:val="Table Grid Light"/>
    <w:basedOn w:val="69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Plain Table 1"/>
    <w:basedOn w:val="698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2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 w:customStyle="1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 w:customStyle="1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 w:customStyle="1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69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3" w:customStyle="1">
    <w:name w:val="Footnote Text Char"/>
    <w:link w:val="910"/>
    <w:uiPriority w:val="99"/>
    <w:rPr>
      <w:sz w:val="18"/>
    </w:rPr>
  </w:style>
  <w:style w:type="paragraph" w:styleId="854">
    <w:name w:val="endnote text"/>
    <w:basedOn w:val="696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 w:customStyle="1">
    <w:name w:val="Текст концевой сноски Знак"/>
    <w:link w:val="854"/>
    <w:uiPriority w:val="99"/>
    <w:rPr>
      <w:sz w:val="20"/>
    </w:rPr>
  </w:style>
  <w:style w:type="character" w:styleId="856">
    <w:name w:val="endnote reference"/>
    <w:basedOn w:val="697"/>
    <w:uiPriority w:val="99"/>
    <w:semiHidden/>
    <w:unhideWhenUsed/>
    <w:rPr>
      <w:vertAlign w:val="superscript"/>
    </w:rPr>
  </w:style>
  <w:style w:type="paragraph" w:styleId="857">
    <w:name w:val="toc 1"/>
    <w:basedOn w:val="696"/>
    <w:next w:val="696"/>
    <w:uiPriority w:val="39"/>
    <w:unhideWhenUsed/>
    <w:pPr>
      <w:spacing w:after="57"/>
    </w:pPr>
  </w:style>
  <w:style w:type="paragraph" w:styleId="858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59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0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1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2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3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4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5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696"/>
    <w:next w:val="696"/>
    <w:uiPriority w:val="99"/>
    <w:unhideWhenUsed/>
    <w:pPr>
      <w:spacing w:after="0"/>
    </w:pPr>
  </w:style>
  <w:style w:type="paragraph" w:styleId="868" w:customStyle="1">
    <w:name w:val="Heading 1"/>
    <w:basedOn w:val="696"/>
    <w:link w:val="871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69" w:customStyle="1">
    <w:name w:val="Heading 2"/>
    <w:basedOn w:val="696"/>
    <w:next w:val="696"/>
    <w:link w:val="875"/>
    <w:semiHidden/>
    <w:unhideWhenUsed/>
    <w:qFormat/>
    <w:pPr>
      <w:keepLines/>
      <w:keepNext/>
      <w:spacing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870" w:customStyle="1">
    <w:name w:val="Heading 3"/>
    <w:basedOn w:val="696"/>
    <w:next w:val="696"/>
    <w:link w:val="876"/>
    <w:semiHidden/>
    <w:unhideWhenUsed/>
    <w:qFormat/>
    <w:pPr>
      <w:keepLines/>
      <w:keepNext/>
      <w:spacing w:before="200" w:after="0"/>
      <w:outlineLvl w:val="2"/>
    </w:pPr>
    <w:rPr>
      <w:rFonts w:ascii="Cambria" w:hAnsi="Cambria" w:eastAsia="Times New Roman" w:cs="Times New Roman"/>
      <w:b/>
      <w:bCs/>
      <w:color w:val="4f81bd"/>
      <w:sz w:val="26"/>
    </w:rPr>
  </w:style>
  <w:style w:type="character" w:styleId="871" w:customStyle="1">
    <w:name w:val="Заголовок 1 Знак"/>
    <w:basedOn w:val="697"/>
    <w:link w:val="86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72" w:customStyle="1">
    <w:name w:val="Заголовок 21"/>
    <w:basedOn w:val="696"/>
    <w:next w:val="696"/>
    <w:semiHidden/>
    <w:unhideWhenUsed/>
    <w:qFormat/>
    <w:pPr>
      <w:ind w:firstLine="709"/>
      <w:keepLines/>
      <w:keepNext/>
      <w:spacing w:before="200" w:after="0" w:line="240" w:lineRule="auto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  <w:lang w:eastAsia="ru-RU"/>
    </w:rPr>
  </w:style>
  <w:style w:type="paragraph" w:styleId="873" w:customStyle="1">
    <w:name w:val="Заголовок 31"/>
    <w:basedOn w:val="696"/>
    <w:next w:val="696"/>
    <w:semiHidden/>
    <w:unhideWhenUsed/>
    <w:qFormat/>
    <w:pPr>
      <w:ind w:firstLine="709"/>
      <w:keepLines/>
      <w:keepNext/>
      <w:spacing w:before="200" w:after="0" w:line="240" w:lineRule="auto"/>
      <w:outlineLvl w:val="2"/>
    </w:pPr>
    <w:rPr>
      <w:rFonts w:ascii="Cambria" w:hAnsi="Cambria" w:eastAsia="Times New Roman" w:cs="Times New Roman"/>
      <w:b/>
      <w:bCs/>
      <w:color w:val="4f81bd"/>
      <w:sz w:val="26"/>
      <w:szCs w:val="20"/>
      <w:lang w:eastAsia="ru-RU"/>
    </w:rPr>
  </w:style>
  <w:style w:type="numbering" w:styleId="874" w:customStyle="1">
    <w:name w:val="Нет списка1"/>
    <w:next w:val="699"/>
    <w:uiPriority w:val="99"/>
    <w:semiHidden/>
    <w:unhideWhenUsed/>
  </w:style>
  <w:style w:type="character" w:styleId="875" w:customStyle="1">
    <w:name w:val="Заголовок 2 Знак"/>
    <w:basedOn w:val="697"/>
    <w:link w:val="869"/>
    <w:semiHidden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876" w:customStyle="1">
    <w:name w:val="Заголовок 3 Знак"/>
    <w:basedOn w:val="697"/>
    <w:link w:val="870"/>
    <w:semiHidden/>
    <w:rPr>
      <w:rFonts w:ascii="Cambria" w:hAnsi="Cambria" w:eastAsia="Times New Roman" w:cs="Times New Roman"/>
      <w:b/>
      <w:bCs/>
      <w:color w:val="4f81bd"/>
      <w:sz w:val="26"/>
    </w:rPr>
  </w:style>
  <w:style w:type="paragraph" w:styleId="877" w:customStyle="1">
    <w:name w:val="Header"/>
    <w:basedOn w:val="696"/>
    <w:link w:val="878"/>
    <w:uiPriority w:val="99"/>
    <w:pPr>
      <w:ind w:firstLine="709"/>
      <w:jc w:val="center"/>
      <w:spacing w:before="120" w:after="24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 w:cs="Times New Roman"/>
      <w:b/>
      <w:caps/>
      <w:sz w:val="28"/>
      <w:szCs w:val="20"/>
      <w:lang w:eastAsia="ru-RU"/>
    </w:rPr>
  </w:style>
  <w:style w:type="character" w:styleId="878" w:customStyle="1">
    <w:name w:val="Верхний колонтитул Знак"/>
    <w:basedOn w:val="697"/>
    <w:link w:val="877"/>
    <w:uiPriority w:val="99"/>
    <w:rPr>
      <w:rFonts w:ascii="Times New Roman" w:hAnsi="Times New Roman" w:eastAsia="Times New Roman" w:cs="Times New Roman"/>
      <w:b/>
      <w:caps/>
      <w:sz w:val="28"/>
      <w:szCs w:val="20"/>
      <w:lang w:eastAsia="ru-RU"/>
    </w:rPr>
  </w:style>
  <w:style w:type="paragraph" w:styleId="879" w:customStyle="1">
    <w:name w:val="Footer"/>
    <w:basedOn w:val="696"/>
    <w:link w:val="880"/>
    <w:uiPriority w:val="99"/>
    <w:pPr>
      <w:ind w:firstLine="709"/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880" w:customStyle="1">
    <w:name w:val="Нижний колонтитул Знак"/>
    <w:basedOn w:val="697"/>
    <w:link w:val="879"/>
    <w:uiPriority w:val="99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881">
    <w:name w:val="Body Text Indent"/>
    <w:basedOn w:val="696"/>
    <w:link w:val="882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882" w:customStyle="1">
    <w:name w:val="Основной текст с отступом Знак"/>
    <w:basedOn w:val="697"/>
    <w:link w:val="881"/>
    <w:uiPriority w:val="99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883">
    <w:name w:val="Hyperlink"/>
    <w:uiPriority w:val="99"/>
    <w:rPr>
      <w:rFonts w:cs="Times New Roman"/>
      <w:color w:val="971417"/>
      <w:u w:val="none"/>
    </w:rPr>
  </w:style>
  <w:style w:type="paragraph" w:styleId="884" w:customStyle="1">
    <w:name w:val="Заголовок текста док"/>
    <w:basedOn w:val="696"/>
    <w:uiPriority w:val="99"/>
    <w:pPr>
      <w:ind w:left="-107"/>
      <w:jc w:val="both"/>
      <w:spacing w:before="120" w:after="0" w:line="240" w:lineRule="auto"/>
    </w:pPr>
    <w:rPr>
      <w:rFonts w:ascii="Times New Roman" w:hAnsi="Times New Roman" w:eastAsia="Times New Roman" w:cs="Times New Roman"/>
      <w:szCs w:val="20"/>
      <w:lang w:eastAsia="ru-RU"/>
    </w:rPr>
  </w:style>
  <w:style w:type="paragraph" w:styleId="885" w:customStyle="1">
    <w:name w:val="Дата документа"/>
    <w:basedOn w:val="696"/>
    <w:uiPriority w:val="99"/>
    <w:pPr>
      <w:jc w:val="both"/>
      <w:spacing w:after="0" w:line="360" w:lineRule="auto"/>
    </w:pPr>
    <w:rPr>
      <w:rFonts w:ascii="PT Astra Serif" w:hAnsi="PT Astra Serif" w:eastAsia="Times New Roman" w:cs="Times New Roman"/>
      <w:sz w:val="26"/>
      <w:szCs w:val="26"/>
      <w:lang w:eastAsia="ru-RU"/>
    </w:rPr>
  </w:style>
  <w:style w:type="paragraph" w:styleId="886" w:customStyle="1">
    <w:name w:val="ConsPlusNormal"/>
    <w:pPr>
      <w:ind w:firstLine="720"/>
      <w:spacing w:after="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paragraph" w:styleId="887">
    <w:name w:val="List Paragraph"/>
    <w:basedOn w:val="696"/>
    <w:uiPriority w:val="34"/>
    <w:qFormat/>
    <w:pPr>
      <w:contextualSpacing/>
      <w:ind w:left="720"/>
    </w:pPr>
    <w:rPr>
      <w:rFonts w:ascii="Calibri" w:hAnsi="Calibri" w:eastAsia="Calibri" w:cs="Times New Roman"/>
    </w:rPr>
  </w:style>
  <w:style w:type="paragraph" w:styleId="888">
    <w:name w:val="Body Text 2"/>
    <w:basedOn w:val="696"/>
    <w:link w:val="889"/>
    <w:uiPriority w:val="99"/>
    <w:semiHidden/>
    <w:pPr>
      <w:ind w:firstLine="709"/>
      <w:spacing w:after="120" w:line="480" w:lineRule="auto"/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889" w:customStyle="1">
    <w:name w:val="Основной текст 2 Знак"/>
    <w:basedOn w:val="697"/>
    <w:link w:val="888"/>
    <w:uiPriority w:val="99"/>
    <w:semiHidden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890" w:customStyle="1">
    <w:name w:val="Обращение"/>
    <w:basedOn w:val="696"/>
    <w:next w:val="696"/>
    <w:uiPriority w:val="99"/>
    <w:pPr>
      <w:jc w:val="center"/>
      <w:spacing w:before="240" w:after="120" w:line="240" w:lineRule="auto"/>
    </w:pPr>
    <w:rPr>
      <w:rFonts w:ascii="Times New Roman" w:hAnsi="Times New Roman" w:eastAsia="Times New Roman" w:cs="Times New Roman"/>
      <w:b/>
      <w:sz w:val="26"/>
      <w:szCs w:val="20"/>
      <w:lang w:eastAsia="ru-RU"/>
    </w:rPr>
  </w:style>
  <w:style w:type="paragraph" w:styleId="891" w:customStyle="1">
    <w:name w:val="Адресат"/>
    <w:basedOn w:val="696"/>
    <w:uiPriority w:val="99"/>
    <w:pPr>
      <w:spacing w:before="120" w:after="0" w:line="240" w:lineRule="auto"/>
    </w:pPr>
    <w:rPr>
      <w:rFonts w:ascii="Times New Roman" w:hAnsi="Times New Roman" w:eastAsia="Times New Roman" w:cs="Times New Roman"/>
      <w:b/>
      <w:sz w:val="26"/>
      <w:szCs w:val="20"/>
      <w:lang w:eastAsia="ru-RU"/>
    </w:rPr>
  </w:style>
  <w:style w:type="paragraph" w:styleId="892" w:customStyle="1">
    <w:name w:val="Default"/>
    <w:pP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eastAsia="ru-RU"/>
    </w:rPr>
  </w:style>
  <w:style w:type="character" w:styleId="893">
    <w:name w:val="Emphasis"/>
    <w:uiPriority w:val="20"/>
    <w:qFormat/>
    <w:rPr>
      <w:i/>
      <w:iCs/>
    </w:rPr>
  </w:style>
  <w:style w:type="character" w:styleId="894" w:customStyle="1">
    <w:name w:val="oz_naimen1"/>
    <w:rPr>
      <w:rFonts w:hint="default" w:ascii="Roboto Condensed" w:hAnsi="Roboto Condensed"/>
    </w:rPr>
  </w:style>
  <w:style w:type="paragraph" w:styleId="895">
    <w:name w:val="Balloon Text"/>
    <w:basedOn w:val="696"/>
    <w:link w:val="896"/>
    <w:uiPriority w:val="99"/>
    <w:semiHidden/>
    <w:unhideWhenUsed/>
    <w:pPr>
      <w:ind w:firstLine="709"/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896" w:customStyle="1">
    <w:name w:val="Текст выноски Знак"/>
    <w:basedOn w:val="697"/>
    <w:link w:val="89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7" w:customStyle="1">
    <w:name w:val="titlepage"/>
    <w:basedOn w:val="69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8">
    <w:name w:val="Body Text"/>
    <w:basedOn w:val="696"/>
    <w:link w:val="8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9" w:customStyle="1">
    <w:name w:val="Основной текст Знак"/>
    <w:basedOn w:val="697"/>
    <w:link w:val="89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01" w:customStyle="1">
    <w:name w:val="Абзац списка3"/>
    <w:basedOn w:val="696"/>
    <w:pPr>
      <w:contextualSpacing/>
      <w:ind w:left="720" w:firstLine="709"/>
      <w:spacing w:after="0" w:line="240" w:lineRule="auto"/>
    </w:pPr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02" w:customStyle="1">
    <w:name w:val="Обычный (веб)1"/>
    <w:basedOn w:val="696"/>
    <w:next w:val="915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903">
    <w:name w:val="Strong"/>
    <w:basedOn w:val="697"/>
    <w:uiPriority w:val="22"/>
    <w:qFormat/>
    <w:rPr>
      <w:b/>
      <w:bCs/>
    </w:rPr>
  </w:style>
  <w:style w:type="character" w:styleId="904" w:customStyle="1">
    <w:name w:val="apple-converted-space"/>
    <w:basedOn w:val="697"/>
  </w:style>
  <w:style w:type="table" w:styleId="905">
    <w:name w:val="Table Grid"/>
    <w:basedOn w:val="698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06" w:customStyle="1">
    <w:name w:val="doccaption"/>
    <w:basedOn w:val="697"/>
  </w:style>
  <w:style w:type="character" w:styleId="907" w:customStyle="1">
    <w:name w:val="Стиль1 Знак"/>
    <w:link w:val="908"/>
    <w:uiPriority w:val="99"/>
    <w:rPr>
      <w:b/>
      <w:bCs/>
      <w:sz w:val="32"/>
      <w:szCs w:val="26"/>
    </w:rPr>
  </w:style>
  <w:style w:type="paragraph" w:styleId="908" w:customStyle="1">
    <w:name w:val="Стиль1"/>
    <w:basedOn w:val="696"/>
    <w:link w:val="907"/>
    <w:uiPriority w:val="99"/>
    <w:pPr>
      <w:ind w:firstLine="720"/>
      <w:jc w:val="both"/>
      <w:spacing w:after="0" w:line="360" w:lineRule="auto"/>
    </w:pPr>
    <w:rPr>
      <w:b/>
      <w:bCs/>
      <w:sz w:val="32"/>
      <w:szCs w:val="26"/>
    </w:rPr>
  </w:style>
  <w:style w:type="paragraph" w:styleId="909" w:customStyle="1">
    <w:name w:val="Название объекта1"/>
    <w:basedOn w:val="696"/>
    <w:next w:val="696"/>
    <w:unhideWhenUsed/>
    <w:qFormat/>
    <w:pPr>
      <w:ind w:firstLine="709"/>
      <w:spacing w:line="240" w:lineRule="auto"/>
    </w:pPr>
    <w:rPr>
      <w:rFonts w:ascii="Times New Roman" w:hAnsi="Times New Roman" w:eastAsia="Times New Roman" w:cs="Times New Roman"/>
      <w:b/>
      <w:bCs/>
      <w:color w:val="4f81bd"/>
      <w:sz w:val="18"/>
      <w:szCs w:val="18"/>
      <w:lang w:eastAsia="ru-RU"/>
    </w:rPr>
  </w:style>
  <w:style w:type="paragraph" w:styleId="910">
    <w:name w:val="footnote text"/>
    <w:basedOn w:val="696"/>
    <w:link w:val="911"/>
    <w:uiPriority w:val="99"/>
    <w:semiHidden/>
    <w:unhideWhenUsed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1" w:customStyle="1">
    <w:name w:val="Текст сноски Знак"/>
    <w:basedOn w:val="697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2">
    <w:name w:val="footnote reference"/>
    <w:basedOn w:val="697"/>
    <w:uiPriority w:val="99"/>
    <w:semiHidden/>
    <w:unhideWhenUsed/>
    <w:rPr>
      <w:vertAlign w:val="superscript"/>
    </w:rPr>
  </w:style>
  <w:style w:type="character" w:styleId="913" w:customStyle="1">
    <w:name w:val="Заголовок 2 Знак1"/>
    <w:basedOn w:val="697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914" w:customStyle="1">
    <w:name w:val="Заголовок 3 Знак1"/>
    <w:basedOn w:val="697"/>
    <w:uiPriority w:val="9"/>
    <w:semiHidden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915">
    <w:name w:val="Normal (Web)"/>
    <w:basedOn w:val="696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916" w:customStyle="1">
    <w:name w:val="Сетка таблицы1"/>
    <w:basedOn w:val="698"/>
    <w:next w:val="905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7">
    <w:name w:val="Header"/>
    <w:basedOn w:val="696"/>
    <w:link w:val="918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1"/>
    <w:basedOn w:val="697"/>
    <w:link w:val="917"/>
    <w:uiPriority w:val="99"/>
    <w:semiHidden/>
  </w:style>
  <w:style w:type="paragraph" w:styleId="919">
    <w:name w:val="Footer"/>
    <w:basedOn w:val="696"/>
    <w:link w:val="920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1"/>
    <w:basedOn w:val="697"/>
    <w:link w:val="919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hyperlink" Target="consultantplus://offline/ref=C2B04D536F06DD290E9E538EE62FD6CDC2751921632421B8930E491E4E70435633AFAE28A429CE532017BD1D97DF7C0580qBSFJ" TargetMode="External"/><Relationship Id="rId12" Type="http://schemas.openxmlformats.org/officeDocument/2006/relationships/hyperlink" Target="consultantplus://offline/ref=C2B04D536F06DD290E9E538EE62FD6CDC2751921632421B8920F491E4E70435633AFAE28A429CE532017BD1D97DF7C0580qBSFJ" TargetMode="External"/><Relationship Id="rId13" Type="http://schemas.openxmlformats.org/officeDocument/2006/relationships/hyperlink" Target="https://molodezh.tomsk.gov.ru/" TargetMode="External"/><Relationship Id="rId14" Type="http://schemas.openxmlformats.org/officeDocument/2006/relationships/hyperlink" Target="http://dor.tomsk.gov.ru/" TargetMode="External"/><Relationship Id="rId15" Type="http://schemas.openxmlformats.org/officeDocument/2006/relationships/hyperlink" Target="http://depzhkh.tomsk.gov.ru/" TargetMode="External"/><Relationship Id="rId16" Type="http://schemas.openxmlformats.org/officeDocument/2006/relationships/hyperlink" Target="http://depzdrav.tomsk.gov.ru/" TargetMode="External"/><Relationship Id="rId17" Type="http://schemas.openxmlformats.org/officeDocument/2006/relationships/hyperlink" Target="http://deples.tomsk.gov.ru/" TargetMode="External"/><Relationship Id="rId18" Type="http://schemas.openxmlformats.org/officeDocument/2006/relationships/hyperlink" Target="http://deples.tomsk.gov.ru/" TargetMode="External"/><Relationship Id="rId19" Type="http://schemas.openxmlformats.org/officeDocument/2006/relationships/hyperlink" Target="consultantplus://offline/ref=701E60AFF2B2A5310DA21FE73DDAC5EA944432A4789607D114552FD11A91A6B14D4C818D86D04EF1D14EC40AF0n2dAE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144FF-7BB5-4260-80F2-EB673FE59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revision>104</cp:revision>
  <dcterms:created xsi:type="dcterms:W3CDTF">2022-01-21T02:45:00Z</dcterms:created>
  <dcterms:modified xsi:type="dcterms:W3CDTF">2026-02-25T08:13:33Z</dcterms:modified>
</cp:coreProperties>
</file>