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tbl>
      <w:tblPr>
        <w:tblStyle w:val="807"/>
        <w:tblW w:w="0" w:type="auto"/>
        <w:tblInd w:w="7196"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autofit"/>
        <w:tblCellMar>
          <w:left w:w="108" w:type="dxa"/>
          <w:right w:w="108" w:type="dxa"/>
        </w:tblCellMar>
        <w:tblLook w:val="04A0" w:firstRow="1" w:lastRow="0" w:firstColumn="1" w:lastColumn="0" w:noHBand="0" w:noVBand="1"/>
      </w:tblPr>
      <w:tblGrid>
        <w:gridCol w:w="3227"/>
      </w:tblGrid>
      <w:tr>
        <w:trPr>
          <w:trHeight w:val="853"/>
        </w:trPr>
        <w:tc>
          <w:tcPr>
            <w:tcW w:w="3227" w:type="dxa"/>
            <w:vAlign w:val="top"/>
            <w:textDirection w:val="lrTb"/>
            <w:noWrap w:val="false"/>
          </w:tcPr>
          <w:p>
            <w:pPr>
              <w:pStyle w:val="810"/>
              <w:ind w:left="0" w:right="0" w:firstLine="0"/>
              <w:jc w:val="left"/>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t xml:space="preserve">Утверждена Постановлением Законодательной Думы Томской области от 1 июля 2021 г. N 2988</w:t>
            </w:r>
            <w:r/>
          </w:p>
          <w:p>
            <w:pPr>
              <w:pStyle w:val="810"/>
              <w:ind w:left="0" w:right="0" w:firstLine="0"/>
              <w:jc w:val="right"/>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tc>
      </w:tr>
    </w:tbl>
    <w:p>
      <w:pPr>
        <w:pStyle w:val="810"/>
        <w:ind w:left="0" w:right="0" w:firstLine="0"/>
        <w:jc w:val="right"/>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right"/>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left"/>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СТРАТЕГИЯ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СОЦИАЛЬНО-ЭКОНОМИЧЕСКОГО РАЗВИТИЯ ТОМСКОЙ ОБЛАСТИ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НА ПЕРИОД ДО 2030 ГОДА</w:t>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sz w:val="20"/>
          <w:szCs w:val="20"/>
          <w:lang w:val="ru-RU" w:bidi="ru-RU"/>
        </w:rPr>
        <w:outlineLvl w:val="0"/>
      </w:pPr>
      <w:r>
        <w:rPr>
          <w:rFonts w:ascii="Arial" w:hAnsi="Arial" w:cs="Arial" w:eastAsia="Arial"/>
          <w:b/>
          <w:bCs/>
          <w:sz w:val="20"/>
          <w:szCs w:val="20"/>
          <w:lang w:val="ru-RU" w:bidi="ru-RU"/>
        </w:rPr>
      </w:r>
      <w:r>
        <w:rPr>
          <w:rFonts w:ascii="Arial" w:hAnsi="Arial" w:cs="Arial" w:eastAsia="Arial"/>
          <w:b/>
          <w:bCs/>
          <w:sz w:val="20"/>
          <w:szCs w:val="20"/>
          <w:lang w:val="ru-RU" w:bidi="ru-RU"/>
        </w:rPr>
      </w:r>
    </w:p>
    <w:p>
      <w:pPr>
        <w:pStyle w:val="810"/>
        <w:ind w:left="0" w:right="0" w:firstLine="0"/>
        <w:jc w:val="center"/>
        <w:spacing w:lineRule="auto" w:line="240" w:after="0" w:before="0"/>
        <w:rPr>
          <w:rFonts w:ascii="Arial" w:hAnsi="Arial" w:cs="Arial" w:eastAsia="Arial"/>
          <w:b/>
          <w:sz w:val="20"/>
          <w:szCs w:val="20"/>
          <w:lang w:val="ru-RU" w:bidi="ru-RU"/>
        </w:rPr>
        <w:outlineLvl w:val="0"/>
      </w:pPr>
      <w:r>
        <w:rPr>
          <w:rFonts w:ascii="Arial" w:hAnsi="Arial" w:cs="Arial" w:eastAsia="Arial"/>
          <w:b/>
          <w:bCs/>
          <w:sz w:val="20"/>
          <w:szCs w:val="20"/>
          <w:lang w:val="ru-RU" w:bidi="ru-RU"/>
        </w:rPr>
      </w:r>
      <w:r>
        <w:rPr>
          <w:rFonts w:ascii="Arial" w:hAnsi="Arial" w:cs="Arial" w:eastAsia="Arial"/>
          <w:b/>
          <w:bCs/>
          <w:sz w:val="20"/>
          <w:szCs w:val="20"/>
          <w:lang w:val="ru-RU" w:bidi="ru-RU"/>
        </w:rPr>
      </w:r>
    </w:p>
    <w:p>
      <w:pPr>
        <w:pStyle w:val="810"/>
        <w:ind w:left="0" w:right="0" w:firstLine="0"/>
        <w:jc w:val="center"/>
        <w:spacing w:lineRule="auto" w:line="240" w:after="0" w:before="0"/>
        <w:rPr>
          <w:rFonts w:ascii="Arial" w:hAnsi="Arial" w:cs="Arial" w:eastAsia="Arial"/>
          <w:b/>
          <w:sz w:val="20"/>
          <w:szCs w:val="20"/>
          <w:lang w:val="ru-RU" w:bidi="ru-RU"/>
        </w:rPr>
        <w:outlineLvl w:val="0"/>
      </w:pPr>
      <w:r>
        <w:rPr>
          <w:rFonts w:ascii="Arial" w:hAnsi="Arial" w:cs="Arial" w:eastAsia="Arial"/>
          <w:b/>
          <w:bCs/>
          <w:sz w:val="20"/>
          <w:szCs w:val="20"/>
          <w:lang w:val="ru-RU" w:bidi="ru-RU"/>
        </w:rPr>
      </w:r>
      <w:r>
        <w:rPr>
          <w:rFonts w:ascii="Arial" w:hAnsi="Arial" w:cs="Arial" w:eastAsia="Arial"/>
          <w:b/>
          <w:bCs/>
          <w:sz w:val="20"/>
          <w:szCs w:val="20"/>
          <w:lang w:val="ru-RU" w:bidi="ru-RU"/>
        </w:rPr>
      </w:r>
    </w:p>
    <w:p>
      <w:pPr>
        <w:pStyle w:val="810"/>
        <w:ind w:left="0" w:right="0" w:firstLine="0"/>
        <w:jc w:val="center"/>
        <w:spacing w:lineRule="auto" w:line="240" w:after="0" w:before="0"/>
        <w:rPr>
          <w:rFonts w:ascii="Arial" w:hAnsi="Arial" w:cs="Arial" w:eastAsia="Arial"/>
          <w:b/>
          <w:sz w:val="20"/>
          <w:szCs w:val="20"/>
          <w:lang w:val="ru-RU" w:bidi="ru-RU"/>
        </w:rPr>
        <w:outlineLvl w:val="0"/>
      </w:pPr>
      <w:r>
        <w:rPr>
          <w:rFonts w:ascii="Arial" w:hAnsi="Arial" w:cs="Arial" w:eastAsia="Arial"/>
          <w:b/>
          <w:bCs/>
          <w:sz w:val="20"/>
          <w:szCs w:val="20"/>
          <w:lang w:val="ru-RU" w:bidi="ru-RU"/>
        </w:rPr>
      </w:r>
      <w:r>
        <w:rPr>
          <w:rFonts w:ascii="Arial" w:hAnsi="Arial" w:cs="Arial" w:eastAsia="Arial"/>
          <w:b/>
          <w:bCs/>
          <w:sz w:val="20"/>
          <w:szCs w:val="20"/>
          <w:lang w:val="ru-RU" w:bidi="ru-RU"/>
        </w:rP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left"/>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ОГЛАВЛЕНИЕ</w:t>
      </w:r>
      <w:r/>
    </w:p>
    <w:p>
      <w:pPr>
        <w:pStyle w:val="810"/>
        <w:ind w:left="0" w:right="0" w:firstLine="0"/>
        <w:jc w:val="center"/>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1. Общие положения…………………………………………………………………………………………………………5</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2. Анализ достижения целей и задач Стратегии с 2014 по 2020 годы…………………………………………….6</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3. Портфель доступных ресурсов развития Томской области…………………………………………………….….19</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4. Анализ досрочной конкурентоспособности томской области……………………………………………………..21</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5. Миссия, приоритеты, цели и задачи социально-экономического развития Томской области на период</w:t>
      </w:r>
      <w:r>
        <w:rPr>
          <w:rFonts w:ascii="Arial" w:hAnsi="Arial" w:cs="Arial" w:eastAsia="Arial"/>
          <w:b w:val="false"/>
          <w:bCs w:val="false"/>
          <w:sz w:val="20"/>
          <w:szCs w:val="20"/>
          <w:lang w:val="ru-RU" w:bidi="ru-RU"/>
        </w:rPr>
        <w:br/>
      </w:r>
      <w:r>
        <w:rPr>
          <w:rFonts w:ascii="Arial" w:hAnsi="Arial" w:cs="Arial" w:eastAsia="Arial"/>
          <w:b w:val="false"/>
          <w:bCs w:val="false"/>
          <w:sz w:val="20"/>
          <w:szCs w:val="20"/>
          <w:lang w:val="ru-RU" w:bidi="ru-RU"/>
        </w:rPr>
        <w:t xml:space="preserve"> до 2030 года…………………………………………………………………………………………….…………………….32</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6. Сценарии социально-экономического развития Томской области……………………………………………….37</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7 Направления социально-экономического развития Томской области с учетом актуальных целей</w:t>
      </w:r>
      <w:r>
        <w:rPr>
          <w:rFonts w:ascii="Arial" w:hAnsi="Arial" w:cs="Arial" w:eastAsia="Arial"/>
          <w:b w:val="false"/>
          <w:bCs w:val="false"/>
          <w:sz w:val="20"/>
          <w:szCs w:val="20"/>
          <w:lang w:val="ru-RU" w:bidi="ru-RU"/>
        </w:rPr>
        <w:br/>
      </w:r>
      <w:r>
        <w:rPr>
          <w:rFonts w:ascii="Arial" w:hAnsi="Arial" w:cs="Arial" w:eastAsia="Arial"/>
          <w:b w:val="false"/>
          <w:bCs w:val="false"/>
          <w:sz w:val="20"/>
          <w:szCs w:val="20"/>
          <w:lang w:val="ru-RU" w:bidi="ru-RU"/>
        </w:rPr>
        <w:t xml:space="preserve">и задач…………………………………………………………………………………………………………………......…..39</w:t>
      </w:r>
      <w:r/>
    </w:p>
    <w:p>
      <w:pPr>
        <w:pStyle w:val="810"/>
        <w:ind w:left="0" w:right="0" w:firstLine="284"/>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7.1</w:t>
      </w:r>
      <w:r>
        <w:rPr>
          <w:rFonts w:ascii="Arial" w:hAnsi="Arial" w:cs="Arial" w:eastAsia="Arial"/>
          <w:b w:val="false"/>
          <w:bCs w:val="false"/>
          <w:sz w:val="20"/>
          <w:szCs w:val="20"/>
          <w:lang w:val="ru-RU" w:bidi="ru-RU"/>
        </w:rPr>
        <w:t xml:space="preserve">. 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предпринимательства…………………………………………………………………………………………...39</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1.1. Обеспечить развитие промышленности в Томской области посредством модернизации системообразующих секторов и создания новых промышленных кластеров……………………………………..40</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1.2. Обеспечить развитие предпринимательства и рост непроизводственных индустрий с фокусом на индустрию гостеприимства и креативный сектор………………………………………………………..50</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1.3. Сформировать технологическое ядро новой отраслевой специализации Томской обла</w:t>
      </w:r>
      <w:r>
        <w:rPr>
          <w:rFonts w:ascii="Arial" w:hAnsi="Arial" w:cs="Arial" w:eastAsia="Arial"/>
          <w:b w:val="false"/>
          <w:bCs w:val="false"/>
          <w:sz w:val="20"/>
          <w:szCs w:val="20"/>
          <w:lang w:val="ru-RU" w:bidi="ru-RU"/>
        </w:rPr>
        <w:t xml:space="preserve">сти, обеспечить развитие высокотехнологических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образования…………………………………………………………………………………………………………………...55</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области……………………………………………………………………………………………………………...60</w:t>
      </w:r>
      <w:r/>
    </w:p>
    <w:p>
      <w:pPr>
        <w:pStyle w:val="810"/>
        <w:ind w:left="0" w:right="0" w:firstLine="284"/>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Цель 2. Рациональное использование природного капитала Томской области, устойчивое развитие агропромышленного комплекса……………………………………………………………………………………………69</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области………………………..70</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2.2. Обеспечить переход к новым параметрам конкурентоспособности агропромышленного комплекса………………………………………………………………………………………………………………………71</w:t>
      </w:r>
      <w:r/>
    </w:p>
    <w:p>
      <w:pPr>
        <w:pStyle w:val="810"/>
        <w:ind w:left="0" w:right="0" w:firstLine="284"/>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Цель 3. Повышение уровня и качества жизни населения на всей территории Томской области, накопление человеческого капитала……………………………………………………………………………………...75</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3.1. Повысить доступность медицинской помощи и эффективность предоставления медицинских услуг……………………………………………………………………………………………………………76</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3.2. Содействовать повышению качества образования в Томской области………………….….79</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3.3. Содействовать развитию строительного комплекса, повышению качества жилищных условий, доступности жилья и качества городской среды…………………………………………………………….85</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3.4. Обеспечить повышение безопасности жизнедеятельности……………………………………89</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3.5. Обеспечить развитие физической культуры и спорта, проведение эффективной молодежной политики в Томской области……………………………………………………………………………….90</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3.6. Содействовать развитию эффективного рынка труда и кадровому обеспечению экономики Томской области……………………………………………………………………………………………………………...92</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3.7. Повысить качество, актуальность и доступность услуг в сфере культуры в Томской области………………………………………………………………………………………………………………………....97</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3.8. Повысить качество и доступность социальной поддержки и социального обслуживания населения, в том числе детей…………………………………………………………………………………………......99</w:t>
      </w:r>
      <w:r/>
    </w:p>
    <w:p>
      <w:pPr>
        <w:pStyle w:val="810"/>
        <w:ind w:left="0" w:right="0" w:firstLine="284"/>
        <w:jc w:val="left"/>
        <w:spacing w:lineRule="auto" w:line="240" w:after="0" w:before="0"/>
        <w:rPr>
          <w:rFonts w:ascii="Arial" w:hAnsi="Arial" w:cs="Arial" w:eastAsia="Arial"/>
          <w:b w:val="false"/>
          <w:bCs w:val="false"/>
          <w:sz w:val="20"/>
          <w:szCs w:val="20"/>
          <w:lang w:val="ru-RU" w:bidi="ru-RU"/>
        </w:rPr>
      </w:pPr>
      <w:r>
        <w:rPr>
          <w:rFonts w:ascii="Arial" w:hAnsi="Arial" w:cs="Arial" w:eastAsia="Arial"/>
          <w:b w:val="false"/>
          <w:bCs w:val="false"/>
          <w:sz w:val="20"/>
          <w:szCs w:val="20"/>
          <w:lang w:val="ru-RU" w:bidi="ru-RU"/>
        </w:rPr>
        <w:t xml:space="preserve">Цель 4. Сбалансированное территориальное развитие, в т.ч. за счет развития инфраструктуры в Томской области………………………………………………………………………………………….………..............101</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4.1. Обеспечить устойчивое развитие муниципальных образований Томской области, в т.ч. сельских территорий Томской области…………………………………………………………………………..........102</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4.2. Содействовать повышению эффективности транспортной системы и информационно-коммуникационной инфраструктуры Томской области………………………………………………………………107</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4.3. Обеспечить модернизацию и развитие коммунальной инфраструктуры, в т.ч. повысить энергоэффективность в Томской области……………………………………………………………………………...109</w:t>
      </w:r>
      <w:r/>
    </w:p>
    <w:p>
      <w:pPr>
        <w:pStyle w:val="810"/>
        <w:ind w:left="0" w:right="0" w:firstLine="284"/>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Цель 5. Эффективное управление регионом и цифровая трансформация…………………………………..110</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5.1. Создание системы управления на базе цифровых платформ, в т.ч. в государственном секторе………………………………………………………………………………………………………………………..111</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закупками…………………………………………………………………………………………………………………….112</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5.3. Повысить эффективность управления государственным имуществом…………………….113</w:t>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Задача 5.4. Обеспечить повышение эффективности регионального и муниципального </w:t>
      </w:r>
      <w:r>
        <w:rPr>
          <w:rFonts w:ascii="Arial" w:hAnsi="Arial" w:cs="Arial" w:eastAsia="Arial"/>
          <w:b w:val="false"/>
          <w:bCs w:val="false"/>
          <w:sz w:val="20"/>
          <w:szCs w:val="20"/>
          <w:lang w:val="ru-RU" w:bidi="ru-RU"/>
        </w:rPr>
        <w:br/>
      </w:r>
      <w:r>
        <w:rPr>
          <w:rFonts w:ascii="Arial" w:hAnsi="Arial" w:cs="Arial" w:eastAsia="Arial"/>
          <w:b w:val="false"/>
          <w:bCs w:val="false"/>
          <w:sz w:val="20"/>
          <w:szCs w:val="20"/>
          <w:lang w:val="ru-RU" w:bidi="ru-RU"/>
        </w:rPr>
        <w:t xml:space="preserve">управления…………………………………………………………………………………………………………………...114</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8. Показатели достижения целей социально-экономического развития Томской области, ожидаемые результаты реализации Стратегии……………………………………………………………………………………....116</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9. Оценка финансовых ресурсов, необходимых для реализации Стратегии…………………………………..122</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10. Система управления и мониторинга реализации Стратегии…………………………………………………...126</w:t>
      </w:r>
      <w:r/>
    </w:p>
    <w:p>
      <w:pPr>
        <w:pStyle w:val="810"/>
        <w:ind w:left="0" w:right="0" w:firstLine="0"/>
        <w:jc w:val="left"/>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11. Сроки и этапы реализации Стратегии………………………………………………………………………………128</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Приложение 1. Перспективы развития отдельных муниципальных образований Томской области………………………………………………………………………………………………………………………..129</w:t>
      </w:r>
      <w:r/>
    </w:p>
    <w:p>
      <w:pPr>
        <w:pStyle w:val="810"/>
        <w:ind w:left="0" w:right="0" w:firstLine="0"/>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t xml:space="preserve">Приложение 2. Информация о государственных программах Томской области, утверждаемых в целях реализации Стратегии……………………………………………………………………………………………………..150</w:t>
      </w:r>
      <w:r/>
    </w:p>
    <w:p>
      <w:pPr>
        <w:pStyle w:val="810"/>
        <w:ind w:left="0" w:right="0" w:firstLine="284"/>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r>
      <w:r/>
    </w:p>
    <w:p>
      <w:pPr>
        <w:pStyle w:val="810"/>
        <w:ind w:left="0" w:right="0" w:firstLine="284"/>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r>
      <w:r/>
    </w:p>
    <w:p>
      <w:pPr>
        <w:pStyle w:val="810"/>
        <w:ind w:left="0" w:right="0" w:firstLine="284"/>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r>
      <w:r/>
    </w:p>
    <w:p>
      <w:pPr>
        <w:pStyle w:val="810"/>
        <w:ind w:left="0" w:right="0" w:firstLine="284"/>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r>
      <w:r/>
    </w:p>
    <w:p>
      <w:pPr>
        <w:pStyle w:val="810"/>
        <w:ind w:left="0" w:right="0" w:firstLine="567"/>
        <w:jc w:val="both"/>
        <w:spacing w:lineRule="auto" w:line="240" w:after="0" w:before="0"/>
        <w:rPr>
          <w:rFonts w:ascii="Arial" w:hAnsi="Arial" w:cs="Arial" w:eastAsia="Arial"/>
          <w:b w:val="false"/>
          <w:bCs w:val="false"/>
          <w:sz w:val="20"/>
          <w:szCs w:val="20"/>
          <w:lang w:val="ru-RU" w:bidi="ru-RU"/>
        </w:rPr>
        <w:outlineLvl w:val="0"/>
      </w:pPr>
      <w:r>
        <w:rPr>
          <w:rFonts w:ascii="Arial" w:hAnsi="Arial" w:cs="Arial" w:eastAsia="Arial"/>
          <w:b w:val="false"/>
          <w:bCs w:val="false"/>
          <w:sz w:val="20"/>
          <w:szCs w:val="20"/>
          <w:lang w:val="ru-RU" w:bidi="ru-RU"/>
        </w:rPr>
      </w:r>
      <w:r/>
    </w:p>
    <w:p>
      <w:pPr>
        <w:pStyle w:val="810"/>
        <w:ind w:left="0" w:right="0" w:firstLine="284"/>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br w:type="page"/>
      </w:r>
      <w:r/>
    </w:p>
    <w:p>
      <w:pPr>
        <w:pStyle w:val="810"/>
        <w:ind w:left="0" w:right="0" w:firstLine="0"/>
        <w:jc w:val="center"/>
        <w:spacing w:lineRule="auto" w:line="240" w:after="0" w:before="0"/>
        <w:rPr>
          <w:rFonts w:ascii="Arial" w:hAnsi="Arial" w:cs="Arial" w:eastAsia="Arial"/>
          <w:b/>
          <w:bCs/>
          <w:sz w:val="20"/>
          <w:szCs w:val="20"/>
          <w:lang w:val="ru-RU" w:bidi="ru-RU"/>
        </w:rPr>
        <w:outlineLvl w:val="0"/>
      </w:pPr>
      <w:r>
        <w:rPr>
          <w:rFonts w:ascii="Arial" w:hAnsi="Arial" w:cs="Arial" w:eastAsia="Arial"/>
          <w:b/>
          <w:bCs/>
          <w:sz w:val="20"/>
          <w:szCs w:val="20"/>
          <w:lang w:val="ru-RU" w:bidi="ru-RU"/>
        </w:rPr>
        <w:t xml:space="preserve">ЗАКОНОДАТЕЛЬНАЯ ДУМА ТОМСКОЙ ОБЛАСТИ</w:t>
      </w:r>
      <w:r/>
    </w:p>
    <w:p>
      <w:pPr>
        <w:pStyle w:val="810"/>
        <w:ind w:left="0" w:right="0" w:firstLine="0"/>
        <w:jc w:val="both"/>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ПОСТАНОВЛЕНИЕ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от 1 июля 2021 г. N 2988</w:t>
      </w:r>
      <w:r/>
    </w:p>
    <w:p>
      <w:pPr>
        <w:pStyle w:val="810"/>
        <w:ind w:left="0" w:right="0" w:firstLine="0"/>
        <w:jc w:val="both"/>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О ВНЕСЕНИИ ИЗМЕНЕНИЯ В ПОСТАНОВЛЕНИЕ ЗАКОНОДАТЕЛЬНОЙ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ДУМЫ ТОМСКОЙ ОБЛАСТИ ОТ 26 МАРТА 2015 ГОДА N 2580</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"ОБ УТВЕРЖДЕНИИ СТРАТЕГИИ СОЦИАЛЬНО-ЭКОНОМИЧЕСКОГО</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РАЗВИТИЯ ТОМСКОЙ ОБЛАСТИ ДО 2030 ГОДА"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Рассмотрев проект постановления Законодательной Думы Томской области "О внесении изменения в постановление Законодательной Думы Томской области от 26 ма</w:t>
      </w:r>
      <w:r>
        <w:rPr>
          <w:rFonts w:ascii="Arial" w:hAnsi="Arial" w:cs="Arial" w:eastAsia="Arial"/>
          <w:sz w:val="20"/>
          <w:szCs w:val="20"/>
          <w:lang w:val="ru-RU" w:bidi="ru-RU"/>
        </w:rPr>
        <w:t xml:space="preserve">рта 2015 года N 2580 "Об утверждении Стратегии социально-экономического развития Томской области до 2030 года", внесенный в порядке реализации права законодательной инициативы Губернатором Томской области, Законодательная Дума Томской области постановляет: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Внести в </w:t>
      </w:r>
      <w:hyperlink r:id="rId15" w:tooltip="consultantplus://offline/ref=9ACAA89C6FF58C33776279C7CE7F366D7681C6FA2BE7B103987BABDEF03D97EEA1F0D20BC4922C16E3AF593F29C73A435AsFI" w:history="1">
        <w:r>
          <w:rPr>
            <w:rFonts w:ascii="Arial" w:hAnsi="Arial" w:cs="Arial" w:eastAsia="Arial"/>
            <w:color w:val="0000FF"/>
            <w:sz w:val="20"/>
            <w:szCs w:val="20"/>
            <w:lang w:val="ru-RU" w:bidi="ru-RU"/>
          </w:rPr>
          <w:t xml:space="preserve">постановление</w:t>
        </w:r>
      </w:hyperlink>
      <w:r>
        <w:rPr>
          <w:rFonts w:ascii="Arial" w:hAnsi="Arial" w:cs="Arial" w:eastAsia="Arial"/>
          <w:sz w:val="20"/>
          <w:szCs w:val="20"/>
          <w:lang w:val="ru-RU" w:bidi="ru-RU"/>
        </w:rPr>
        <w:t xml:space="preserve"> Законодательной Думы Томской области от 26 марта 2015 года N 2580 "Об утверждении Стратегии социально-экономического развития Томской области до 2030 года" (Официальные ведомости Законодательной Думы Томской области, 2015, N 40(216)), изменение, изложив </w:t>
      </w:r>
      <w:hyperlink r:id="rId16" w:tooltip="consultantplus://offline/ref=9ACAA89C6FF58C33776279C7CE7F366D7681C6FA2BE7B103987BABDEF03D97EEA1F0D219C4CA2015E3B1583A3C916B05FBCC26DD257CB73F23F75E52s3I" w:history="1">
        <w:r>
          <w:rPr>
            <w:rFonts w:ascii="Arial" w:hAnsi="Arial" w:cs="Arial" w:eastAsia="Arial"/>
            <w:color w:val="0000FF"/>
            <w:sz w:val="20"/>
            <w:szCs w:val="20"/>
            <w:lang w:val="ru-RU" w:bidi="ru-RU"/>
          </w:rPr>
          <w:t xml:space="preserve">приложение</w:t>
        </w:r>
      </w:hyperlink>
      <w:r>
        <w:rPr>
          <w:rFonts w:ascii="Arial" w:hAnsi="Arial" w:cs="Arial" w:eastAsia="Arial"/>
          <w:sz w:val="20"/>
          <w:szCs w:val="20"/>
          <w:lang w:val="ru-RU" w:bidi="ru-RU"/>
        </w:rPr>
        <w:t xml:space="preserve"> к постановлению в новой редакции согласно </w:t>
      </w:r>
      <w:hyperlink w:history="1">
        <w:r>
          <w:rPr>
            <w:rFonts w:ascii="Arial" w:hAnsi="Arial" w:cs="Arial" w:eastAsia="Arial"/>
            <w:color w:val="0000FF"/>
            <w:sz w:val="20"/>
            <w:szCs w:val="20"/>
            <w:lang w:val="ru-RU" w:bidi="ru-RU"/>
          </w:rPr>
          <w:t xml:space="preserve">приложению</w:t>
        </w:r>
      </w:hyperlink>
      <w:r>
        <w:rPr>
          <w:rFonts w:ascii="Arial" w:hAnsi="Arial" w:cs="Arial" w:eastAsia="Arial"/>
          <w:sz w:val="20"/>
          <w:szCs w:val="20"/>
          <w:lang w:val="ru-RU" w:bidi="ru-RU"/>
        </w:rPr>
        <w:t xml:space="preserve"> к настоящему постановлению.</w:t>
      </w:r>
      <w:r/>
    </w:p>
    <w:p>
      <w:pPr>
        <w:pStyle w:val="808"/>
        <w:ind w:left="0" w:right="0" w:firstLine="0"/>
        <w:jc w:val="both"/>
        <w:spacing w:lineRule="auto" w:line="240" w:after="0" w:before="0"/>
        <w:rPr>
          <w:rFonts w:ascii="Arial" w:hAnsi="Arial" w:cs="Arial" w:eastAsia="Arial"/>
          <w:sz w:val="20"/>
          <w:szCs w:val="20"/>
          <w:lang w:val="en-US" w:bidi="ru-RU"/>
        </w:rPr>
      </w:pPr>
      <w:r>
        <w:rPr>
          <w:rFonts w:ascii="Arial" w:hAnsi="Arial" w:cs="Arial" w:eastAsia="Arial"/>
          <w:sz w:val="20"/>
          <w:szCs w:val="20"/>
          <w:lang w:val="en-US"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Председатель</w:t>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Законодательной Думы</w:t>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Томской области</w:t>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О.В.КОЗЛОВСКАЯ</w:t>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Приложение к постановлению</w:t>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Законодательной Думы</w:t>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Томской области</w:t>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от 01.07.2021 N 2988</w:t>
      </w:r>
      <w:bookmarkStart w:id="1" w:name="Par29"/>
      <w:r/>
      <w:bookmarkEnd w:id="1"/>
      <w:r/>
      <w:r/>
    </w:p>
    <w:p>
      <w:pPr>
        <w:pStyle w:val="808"/>
        <w:ind w:left="0" w:right="0" w:firstLine="0"/>
        <w:jc w:val="righ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left"/>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СТРАТЕГИЯ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СОЦИАЛЬНО-ЭКОНОМИЧЕСКОГО РАЗВИТИЯ ТОМСКОЙ ОБЛАСТИ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НА ПЕРИОД ДО 2030 ГОДА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1. ОБЩИЕ ПОЛОЖЕНИЯ</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Стратегия социально-экономического развития Томской области до 2030 года (далее - Стратегия) определяет ключевые приоритеты, цели и задачи социально-экономического развития Томской области, основные направления их достижения на долгосрочную перспективу.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Настоящим документом актуализируются положения Стратегии социально-экономического развития Томской области до 2030 года, утвержденной постановлением Законодательной Думы Томской области от 26 марта 2015 года N 2580.</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Целью актуализации Стратегии является обновление, дополнение и корр</w:t>
      </w:r>
      <w:r>
        <w:rPr>
          <w:rFonts w:ascii="Arial" w:hAnsi="Arial" w:cs="Arial" w:eastAsia="Arial"/>
          <w:sz w:val="20"/>
          <w:szCs w:val="20"/>
          <w:lang w:val="ru-RU" w:bidi="ru-RU"/>
        </w:rPr>
        <w:t xml:space="preserve">ектировка приоритетов и задач развития региона для достижения целей социально-экономического развития Томской области и повышения ее вклада в достижение национальных целей развития Российской Федерации до 2030 года в изменчивых макроэкономических условиях.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Стратегия актуализирована с учетом национальных стратегических целей и задач, зафиксированных в следующих нормативных правовых актах: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hyperlink r:id="rId17" w:tooltip="consultantplus://offline/ref=9ACAA89C6FF58C33776267CAD8136869748F9FFE21E8B854C524F083A7349DB9F4BFD35783C73F15E4AF5B38355Cs4I" w:history="1">
        <w:r>
          <w:rPr>
            <w:rFonts w:ascii="Arial" w:hAnsi="Arial" w:cs="Arial" w:eastAsia="Arial"/>
            <w:color w:val="0000FF"/>
            <w:sz w:val="20"/>
            <w:szCs w:val="20"/>
            <w:lang w:val="ru-RU" w:bidi="ru-RU"/>
          </w:rPr>
          <w:t xml:space="preserve">Указ</w:t>
        </w:r>
      </w:hyperlink>
      <w:r>
        <w:rPr>
          <w:rFonts w:ascii="Arial" w:hAnsi="Arial" w:cs="Arial" w:eastAsia="Arial"/>
          <w:sz w:val="20"/>
          <w:szCs w:val="20"/>
          <w:lang w:val="ru-RU" w:bidi="ru-RU"/>
        </w:rPr>
        <w:t xml:space="preserve"> Президента Российской Федерации от 21 июля 2020 года N 474 "О национальных целях развития Российской Федерации на период до 2030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hyperlink r:id="rId18" w:tooltip="consultantplus://offline/ref=9ACAA89C6FF58C33776267CAD8136869748F90F721E9B854C524F083A7349DB9F4BFD35783C73F15E4AF5B38355Cs4I" w:history="1">
        <w:r>
          <w:rPr>
            <w:rFonts w:ascii="Arial" w:hAnsi="Arial" w:cs="Arial" w:eastAsia="Arial"/>
            <w:color w:val="0000FF"/>
            <w:sz w:val="20"/>
            <w:szCs w:val="20"/>
            <w:lang w:val="ru-RU" w:bidi="ru-RU"/>
          </w:rPr>
          <w:t xml:space="preserve">Указ</w:t>
        </w:r>
      </w:hyperlink>
      <w:r>
        <w:rPr>
          <w:rFonts w:ascii="Arial" w:hAnsi="Arial" w:cs="Arial" w:eastAsia="Arial"/>
          <w:sz w:val="20"/>
          <w:szCs w:val="20"/>
          <w:lang w:val="ru-RU" w:bidi="ru-RU"/>
        </w:rPr>
        <w:t xml:space="preserve"> Президента Российской Федерации от 7 мая 2018 года N 204 "О национальных целях и стратегических задачах развития Российской Федерации на период до 2024 года" и соответствующие ему национальные проекты;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hyperlink r:id="rId19" w:tooltip="consultantplus://offline/ref=9ACAA89C6FF58C33776267CAD8136869748298F325EFB854C524F083A7349DB9F4BFD35783C73F15E4AF5B38355Cs4I" w:history="1">
        <w:r>
          <w:rPr>
            <w:rFonts w:ascii="Arial" w:hAnsi="Arial" w:cs="Arial" w:eastAsia="Arial"/>
            <w:color w:val="0000FF"/>
            <w:sz w:val="20"/>
            <w:szCs w:val="20"/>
            <w:lang w:val="ru-RU" w:bidi="ru-RU"/>
          </w:rPr>
          <w:t xml:space="preserve">Распоряжение</w:t>
        </w:r>
      </w:hyperlink>
      <w:r>
        <w:rPr>
          <w:rFonts w:ascii="Arial" w:hAnsi="Arial" w:cs="Arial" w:eastAsia="Arial"/>
          <w:sz w:val="20"/>
          <w:szCs w:val="20"/>
          <w:lang w:val="ru-RU" w:bidi="ru-RU"/>
        </w:rPr>
        <w:t xml:space="preserve"> Правительства Российской Федерации от 13 февраля 2019 года N 207-р "Об утверждении Стратегии пространственного развития Российской Федерации до 2025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hyperlink r:id="rId20" w:tooltip="consultantplus://offline/ref=9ACAA89C6FF58C33776267CAD8136869748D91F427EBB854C524F083A7349DB9F4BFD35783C73F15E4AF5B38355Cs4I" w:history="1">
        <w:r>
          <w:rPr>
            <w:rFonts w:ascii="Arial" w:hAnsi="Arial" w:cs="Arial" w:eastAsia="Arial"/>
            <w:color w:val="0000FF"/>
            <w:sz w:val="20"/>
            <w:szCs w:val="20"/>
            <w:lang w:val="ru-RU" w:bidi="ru-RU"/>
          </w:rPr>
          <w:t xml:space="preserve">Указ</w:t>
        </w:r>
      </w:hyperlink>
      <w:r>
        <w:rPr>
          <w:rFonts w:ascii="Arial" w:hAnsi="Arial" w:cs="Arial" w:eastAsia="Arial"/>
          <w:sz w:val="20"/>
          <w:szCs w:val="20"/>
          <w:lang w:val="ru-RU" w:bidi="ru-RU"/>
        </w:rPr>
        <w:t xml:space="preserve"> Президента Российской Федерации от 1 декабря 2016 года N 642 "О Стратегии научно-технологического развития Российской Федерации";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hyperlink r:id="rId21" w:tooltip="consultantplus://offline/ref=9ACAA89C6FF58C33776267CAD8136869748C9EF725EAB854C524F083A7349DB9F4BFD35783C73F15E4AF5B38355Cs4I" w:history="1">
        <w:r>
          <w:rPr>
            <w:rFonts w:ascii="Arial" w:hAnsi="Arial" w:cs="Arial" w:eastAsia="Arial"/>
            <w:color w:val="0000FF"/>
            <w:sz w:val="20"/>
            <w:szCs w:val="20"/>
            <w:lang w:val="ru-RU" w:bidi="ru-RU"/>
          </w:rPr>
          <w:t xml:space="preserve">Указ</w:t>
        </w:r>
      </w:hyperlink>
      <w:r>
        <w:rPr>
          <w:rFonts w:ascii="Arial" w:hAnsi="Arial" w:cs="Arial" w:eastAsia="Arial"/>
          <w:sz w:val="20"/>
          <w:szCs w:val="20"/>
          <w:lang w:val="ru-RU" w:bidi="ru-RU"/>
        </w:rPr>
        <w:t xml:space="preserve"> Президента Российской Федерации от 26 октября 2020 года N 645 "О Стратегии развития Арктической зоны Российской Федерации и обеспечения национальной безопасности на период до 2035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hyperlink r:id="rId22" w:tooltip="consultantplus://offline/ref=9ACAA89C6FF58C33776267CAD8136869748F9CFF27EFB854C524F083A7349DB9F4BFD35783C73F15E4AF5B38355Cs4I" w:history="1">
        <w:r>
          <w:rPr>
            <w:rFonts w:ascii="Arial" w:hAnsi="Arial" w:cs="Arial" w:eastAsia="Arial"/>
            <w:color w:val="0000FF"/>
            <w:sz w:val="20"/>
            <w:szCs w:val="20"/>
            <w:lang w:val="ru-RU" w:bidi="ru-RU"/>
          </w:rPr>
          <w:t xml:space="preserve">Распоряжение</w:t>
        </w:r>
      </w:hyperlink>
      <w:r>
        <w:rPr>
          <w:rFonts w:ascii="Arial" w:hAnsi="Arial" w:cs="Arial" w:eastAsia="Arial"/>
          <w:sz w:val="20"/>
          <w:szCs w:val="20"/>
          <w:lang w:val="ru-RU" w:bidi="ru-RU"/>
        </w:rPr>
        <w:t xml:space="preserve"> Правительства Российской Федерации от 9 июня 2020 года N 1523-р "Об утверждении Энергетической стратегии Российской Федерации на период до 2035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Стратегия также учитывает ключевые положения отраслевых стратегических нормативных правовых актов, принятых на федеральном уровне: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hyperlink r:id="rId23" w:tooltip="consultantplus://offline/ref=9ACAA89C6FF58C33776267CAD8136869748B9AFE27EEB854C524F083A7349DB9F4BFD35783C73F15E4AF5B38355Cs4I" w:history="1">
        <w:r>
          <w:rPr>
            <w:rFonts w:ascii="Arial" w:hAnsi="Arial" w:cs="Arial" w:eastAsia="Arial"/>
            <w:color w:val="0000FF"/>
            <w:sz w:val="20"/>
            <w:szCs w:val="20"/>
            <w:lang w:val="ru-RU" w:bidi="ru-RU"/>
          </w:rPr>
          <w:t xml:space="preserve">Указа</w:t>
        </w:r>
      </w:hyperlink>
      <w:r>
        <w:rPr>
          <w:rFonts w:ascii="Arial" w:hAnsi="Arial" w:cs="Arial" w:eastAsia="Arial"/>
          <w:sz w:val="20"/>
          <w:szCs w:val="20"/>
          <w:lang w:val="ru-RU" w:bidi="ru-RU"/>
        </w:rPr>
        <w:t xml:space="preserve"> Президента Российской Федерации от 19 декабря 2012 года N 1666 "О Стратегии государственной национальной политики Российской Федерации на период до 2025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hyperlink r:id="rId24" w:tooltip="consultantplus://offline/ref=9ACAA89C6FF58C33776267CAD8136869758B9EF425ECB854C524F083A7349DB9F4BFD35783C73F15E4AF5B38355Cs4I" w:history="1">
        <w:r>
          <w:rPr>
            <w:rFonts w:ascii="Arial" w:hAnsi="Arial" w:cs="Arial" w:eastAsia="Arial"/>
            <w:color w:val="0000FF"/>
            <w:sz w:val="20"/>
            <w:szCs w:val="20"/>
            <w:lang w:val="ru-RU" w:bidi="ru-RU"/>
          </w:rPr>
          <w:t xml:space="preserve">Указа</w:t>
        </w:r>
      </w:hyperlink>
      <w:r>
        <w:rPr>
          <w:rFonts w:ascii="Arial" w:hAnsi="Arial" w:cs="Arial" w:eastAsia="Arial"/>
          <w:sz w:val="20"/>
          <w:szCs w:val="20"/>
          <w:lang w:val="ru-RU" w:bidi="ru-RU"/>
        </w:rPr>
        <w:t xml:space="preserve"> Президента Российской Федерации от 9 мая 2017 года N 203 "О Стратегии развития информационного общества в Российской Федерации на 2017 - 2030 годы";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hyperlink r:id="rId25" w:tooltip="consultantplus://offline/ref=9ACAA89C6FF58C33776267CAD813686974889EF322E6B854C524F083A7349DB9F4BFD35783C73F15E4AF5B38355Cs4I" w:history="1">
        <w:r>
          <w:rPr>
            <w:rFonts w:ascii="Arial" w:hAnsi="Arial" w:cs="Arial" w:eastAsia="Arial"/>
            <w:color w:val="0000FF"/>
            <w:sz w:val="20"/>
            <w:szCs w:val="20"/>
            <w:lang w:val="ru-RU" w:bidi="ru-RU"/>
          </w:rPr>
          <w:t xml:space="preserve">Указа</w:t>
        </w:r>
      </w:hyperlink>
      <w:r>
        <w:rPr>
          <w:rFonts w:ascii="Arial" w:hAnsi="Arial" w:cs="Arial" w:eastAsia="Arial"/>
          <w:sz w:val="20"/>
          <w:szCs w:val="20"/>
          <w:lang w:val="ru-RU" w:bidi="ru-RU"/>
        </w:rPr>
        <w:t xml:space="preserve"> Президента Российской Федерации от 6 июня 2019 года N 254 "О Стратегии развития здравоохранения в Российской Федерации на период 2025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hyperlink r:id="rId26" w:tooltip="consultantplus://offline/ref=9ACAA89C6FF58C33776267CAD813686975839CFF21EAB854C524F083A7349DB9F4BFD35783C73F15E4AF5B38355Cs4I" w:history="1">
        <w:r>
          <w:rPr>
            <w:rFonts w:ascii="Arial" w:hAnsi="Arial" w:cs="Arial" w:eastAsia="Arial"/>
            <w:color w:val="0000FF"/>
            <w:sz w:val="20"/>
            <w:szCs w:val="20"/>
            <w:lang w:val="ru-RU" w:bidi="ru-RU"/>
          </w:rPr>
          <w:t xml:space="preserve">Распоряжения</w:t>
        </w:r>
      </w:hyperlink>
      <w:r>
        <w:rPr>
          <w:rFonts w:ascii="Arial" w:hAnsi="Arial" w:cs="Arial" w:eastAsia="Arial"/>
          <w:sz w:val="20"/>
          <w:szCs w:val="20"/>
          <w:lang w:val="ru-RU" w:bidi="ru-RU"/>
        </w:rPr>
        <w:t xml:space="preserve"> Правительства Российской Федерации от 29 февраля 2016 года N 326-р "Об утверждении государственной культурной политики на период до 2030 года" и другие.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Стратегия соответствует требованиям Федерального </w:t>
      </w:r>
      <w:hyperlink r:id="rId27" w:tooltip="consultantplus://offline/ref=9ACAA89C6FF58C33776267CAD8136869748F90FF21EBB854C524F083A7349DB9F4BFD35783C73F15E4AF5B38355Cs4I" w:history="1">
        <w:r>
          <w:rPr>
            <w:rFonts w:ascii="Arial" w:hAnsi="Arial" w:cs="Arial" w:eastAsia="Arial"/>
            <w:color w:val="0000FF"/>
            <w:sz w:val="20"/>
            <w:szCs w:val="20"/>
            <w:lang w:val="ru-RU" w:bidi="ru-RU"/>
          </w:rPr>
          <w:t xml:space="preserve">закона</w:t>
        </w:r>
      </w:hyperlink>
      <w:r>
        <w:rPr>
          <w:rFonts w:ascii="Arial" w:hAnsi="Arial" w:cs="Arial" w:eastAsia="Arial"/>
          <w:sz w:val="20"/>
          <w:szCs w:val="20"/>
          <w:lang w:val="ru-RU" w:bidi="ru-RU"/>
        </w:rPr>
        <w:t xml:space="preserve"> от 28 июня 2014 года N 172-ФЗ "О стратегическом планировании в Российской Федерации" и </w:t>
      </w:r>
      <w:hyperlink r:id="rId28" w:tooltip="consultantplus://offline/ref=9ACAA89C6FF58C33776279C7CE7F366D7681C6FA22EAB0009070F6D4F8649BECA6FF8D0ED1837418E0B1473830DB3841AC5Cs0I" w:history="1">
        <w:r>
          <w:rPr>
            <w:rFonts w:ascii="Arial" w:hAnsi="Arial" w:cs="Arial" w:eastAsia="Arial"/>
            <w:color w:val="0000FF"/>
            <w:sz w:val="20"/>
            <w:szCs w:val="20"/>
            <w:lang w:val="ru-RU" w:bidi="ru-RU"/>
          </w:rPr>
          <w:t xml:space="preserve">Закона</w:t>
        </w:r>
      </w:hyperlink>
      <w:r>
        <w:rPr>
          <w:rFonts w:ascii="Arial" w:hAnsi="Arial" w:cs="Arial" w:eastAsia="Arial"/>
          <w:sz w:val="20"/>
          <w:szCs w:val="20"/>
          <w:lang w:val="ru-RU" w:bidi="ru-RU"/>
        </w:rPr>
        <w:t xml:space="preserve"> Томской области от 12 марта 2015 года N 24-ОЗ "О стратегическом планировании в Томской области". Стратегия актуализирована с учетом Методических </w:t>
      </w:r>
      <w:hyperlink r:id="rId29" w:tooltip="consultantplus://offline/ref=9ACAA89C6FF58C33776267CAD813686974829AF424E7B854C524F083A7349DB9E6BF8B5B80C72115EBBA0D6973903742AEDF25DA257EB02352s0I" w:history="1">
        <w:r>
          <w:rPr>
            <w:rFonts w:ascii="Arial" w:hAnsi="Arial" w:cs="Arial" w:eastAsia="Arial"/>
            <w:color w:val="0000FF"/>
            <w:sz w:val="20"/>
            <w:szCs w:val="20"/>
            <w:lang w:val="ru-RU" w:bidi="ru-RU"/>
          </w:rPr>
          <w:t xml:space="preserve">рекомендаций</w:t>
        </w:r>
      </w:hyperlink>
      <w:r>
        <w:rPr>
          <w:rFonts w:ascii="Arial" w:hAnsi="Arial" w:cs="Arial" w:eastAsia="Arial"/>
          <w:sz w:val="20"/>
          <w:szCs w:val="20"/>
          <w:lang w:val="ru-RU" w:bidi="ru-RU"/>
        </w:rPr>
        <w:t xml:space="preserve"> по разработке и корректировке стратегии социально-экономического развития субъекта Российской Федерации и плана мероприятий п</w:t>
      </w:r>
      <w:r>
        <w:rPr>
          <w:rFonts w:ascii="Arial" w:hAnsi="Arial" w:cs="Arial" w:eastAsia="Arial"/>
          <w:sz w:val="20"/>
          <w:szCs w:val="20"/>
          <w:lang w:val="ru-RU" w:bidi="ru-RU"/>
        </w:rPr>
        <w:t xml:space="preserve">о ее реализации, утвержденных Приказом Минэкономразвития России от 23 марта 2017 года N 132, и согласована Минэкономразвития России. Стратегия содержит оценку результатов реализации Стратегии, утвержденной Законодательной Думой Томской области в 2015 году.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Стратегия является основой для разработки Плана</w:t>
      </w:r>
      <w:r>
        <w:rPr>
          <w:rFonts w:ascii="Arial" w:hAnsi="Arial" w:cs="Arial" w:eastAsia="Arial"/>
          <w:sz w:val="20"/>
          <w:szCs w:val="20"/>
          <w:lang w:val="ru-RU" w:bidi="ru-RU"/>
        </w:rPr>
        <w:t xml:space="preserve"> мероприятий по реализации Стратегии, государственных программ Томской области, схемы территориального планирования двух и более субъектов Российской Федерации, одним из которых является Томская область, схемы территориального планирования Томской области.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2. АНАЛИЗ ДОСТИЖЕНИЯ ЦЕЛЕЙ И ЗАДАЧ СТРАТЕГИИ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 2014 ПО 2020 ГОДЫ</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Стратегия социально-экономического развития Томской области до 2030 года, утвержденная постановлением Законодательной Думы Томской области от 26 марта 2015 года N 2580 (далее - </w:t>
      </w:r>
      <w:r>
        <w:rPr>
          <w:rFonts w:ascii="Arial" w:hAnsi="Arial" w:cs="Arial" w:eastAsia="Arial"/>
          <w:sz w:val="20"/>
          <w:szCs w:val="20"/>
          <w:lang w:val="ru-RU" w:bidi="ru-RU"/>
        </w:rPr>
        <w:t xml:space="preserve">Стратегия-2015), задала вектор на обеспечение роста качества жизни за счет создания новой добавленной стоимости в региональной экономике и развития социальной сферы. Основным механизмом реализации Стратегии-2015 стало создание "мостов" - сетеобразующих свя</w:t>
      </w:r>
      <w:r>
        <w:rPr>
          <w:rFonts w:ascii="Arial" w:hAnsi="Arial" w:cs="Arial" w:eastAsia="Arial"/>
          <w:sz w:val="20"/>
          <w:szCs w:val="20"/>
          <w:lang w:val="ru-RU" w:bidi="ru-RU"/>
        </w:rPr>
        <w:t xml:space="preserve">зей между крупными компаниями и малым бизнесом на основе долгосрочной кластерной кооперации, а также между производством и наукой, за счет реализации политики, включающей создание инновационных кластеров, инжиниринговых центров, территорий опережающего раз</w:t>
      </w:r>
      <w:r>
        <w:rPr>
          <w:rFonts w:ascii="Arial" w:hAnsi="Arial" w:cs="Arial" w:eastAsia="Arial"/>
          <w:sz w:val="20"/>
          <w:szCs w:val="20"/>
          <w:lang w:val="ru-RU" w:bidi="ru-RU"/>
        </w:rPr>
        <w:t xml:space="preserve">вития. Особое внимание в Стратегии-2015 уделено муниципальному вектору в части создания равных условий для развития различных по своей базе и факторам роста экономических поясов, а также постановке задач по формированию новой специализации муниципалитетов.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Стратегия-2015 предусматривала поэтапную реализацию. На первых двух этапах (2015 - 2017 гг.; 2018 - 2020 гг.) предполагалось</w:t>
      </w:r>
      <w:r>
        <w:rPr>
          <w:rFonts w:ascii="Arial" w:hAnsi="Arial" w:cs="Arial" w:eastAsia="Arial"/>
          <w:sz w:val="20"/>
          <w:szCs w:val="20"/>
          <w:lang w:val="ru-RU" w:bidi="ru-RU"/>
        </w:rPr>
        <w:t xml:space="preserve"> обеспечить условия для инвестиций и ускорения роста экономики. С 2021 года планировался переход к инновационному (интенсивному) сценарию развития, нацеленному на реализацию к 2030 году главной миссии региона по обеспечению высокого качества жизни граждан.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Стратегии-2015 обозначены долгосрочные цели регионального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Цель 2. Рациональное использование природного капитала Томской области, устойчивое развитие агропромышленного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Цель 3. Повышение уровня и качества жизни населения на всей территории Томской области, накопление человеческого капитала;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Цель 4. Сбалансированное территориальное развитие за счет развития инфраструктуры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Цель 5. Эффективное управление регионом.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Анализ ключевых достижений и сохранившихся проблем в рамках стратегических целей с момента принятия стратегии до принятия принципиального решения о необходимости ее актуализации (конец 2019 года) показал следующее.</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Цель 1. Реализация модели интенсивного развития, включая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развитие высокотехнологичных производств на основе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потенциала научно-образовательного комплекса, создание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условий для инвестиций, развитие предпринимательства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Томской области удалось успешно реализовать большую часть задач, направленных на обеспечение интенсивного развития региональной экономики.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Регион сохраняет лидирующие позиции по основным направлениям научно-технологического и инновационн</w:t>
      </w:r>
      <w:r>
        <w:rPr>
          <w:rFonts w:ascii="Arial" w:hAnsi="Arial" w:cs="Arial" w:eastAsia="Arial"/>
          <w:sz w:val="20"/>
          <w:szCs w:val="20"/>
          <w:lang w:val="ru-RU" w:bidi="ru-RU"/>
        </w:rPr>
        <w:t xml:space="preserve">ого развития, занимая четвертое место в рейтинге инновационного развития НИУ ВШЭ 2020 года; находится в группе 10 ведущих субъектов по уровню инновационного потенциала по оценке рейтингового агентства RAEX за последние 10 лет. По состоянию на конец 2020 го</w:t>
      </w:r>
      <w:r>
        <w:rPr>
          <w:rFonts w:ascii="Arial" w:hAnsi="Arial" w:cs="Arial" w:eastAsia="Arial"/>
          <w:sz w:val="20"/>
          <w:szCs w:val="20"/>
          <w:lang w:val="ru-RU" w:bidi="ru-RU"/>
        </w:rPr>
        <w:t xml:space="preserve">да область отличает сильный научно-образовательный и инновационный сектор, консолидирующий прорывные научные разработки, востребованные образовательные программы, передовые технологические решения мирового уровня. Привлекаемые из различных источников ресур</w:t>
      </w:r>
      <w:r>
        <w:rPr>
          <w:rFonts w:ascii="Arial" w:hAnsi="Arial" w:cs="Arial" w:eastAsia="Arial"/>
          <w:sz w:val="20"/>
          <w:szCs w:val="20"/>
          <w:lang w:val="ru-RU" w:bidi="ru-RU"/>
        </w:rPr>
        <w:t xml:space="preserve">сы на развитие сектора науки и высшего образования, в том числе человеческого капитала в науке, ежегодно растут. В частности, в 2014 - 2019 годах внутренние затраты региональных организаций на исследования и разработки (ВЗИР) возросли почти в 2 раза и прев</w:t>
      </w:r>
      <w:r>
        <w:rPr>
          <w:rFonts w:ascii="Arial" w:hAnsi="Arial" w:cs="Arial" w:eastAsia="Arial"/>
          <w:sz w:val="20"/>
          <w:szCs w:val="20"/>
          <w:lang w:val="ru-RU" w:bidi="ru-RU"/>
        </w:rPr>
        <w:t xml:space="preserve">ысили плановое значение (2020 г. - 2,7%, план 2020 г. - 2,59%) &lt;1&gt;. По доле затрат на НИОКР в ВРП (2,7%) регион имеет значение выше среднероссийского показателя (1,11% ВВП). С 2015 по 2019 гг. Томская область улучшила позицию с 6-го до 4-го места в России.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&lt;1&gt; По данным Томскстата: ВЗИР (в текущих ценах) увеличились с 9,7 млрд руб. в 2014 г. до 16,8 млрд руб. в 2019 г.; доля ВЗИР в ВРП увеличилась с 2,25% в 2014 г. до 2,67% в 2018 г., оценочное значение 2019 г. - 2,7%.</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Образовательные организации высшего образования и научные организации Томской области укрепили позиции в мировых рейтингах, приняли участие в фундаментальных и прикладных программах и инициативах. Так, например, Томский</w:t>
      </w:r>
      <w:r>
        <w:rPr>
          <w:rFonts w:ascii="Arial" w:hAnsi="Arial" w:cs="Arial" w:eastAsia="Arial"/>
          <w:sz w:val="20"/>
          <w:szCs w:val="20"/>
          <w:lang w:val="ru-RU" w:bidi="ru-RU"/>
        </w:rPr>
        <w:t xml:space="preserve"> государственный университет занимает 4 место среди российских образовательных организаций высшего образования в рейтинге QS по состоянию на 2021 год и входит в топ-250 образовательных организаций высшего образования в мире; Томский политехнический универс</w:t>
      </w:r>
      <w:r>
        <w:rPr>
          <w:rFonts w:ascii="Arial" w:hAnsi="Arial" w:cs="Arial" w:eastAsia="Arial"/>
          <w:sz w:val="20"/>
          <w:szCs w:val="20"/>
          <w:lang w:val="ru-RU" w:bidi="ru-RU"/>
        </w:rPr>
        <w:t xml:space="preserve">итет - 15 место в рейтинге в России, 401 - в мире. Высокая концентрация объектов и комплексность экосистемы развития малых инновационных компаний являются одним из ключевых преимуществ Томской области по сравнению с другими субъектами Российской Федерации.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остается крупным нефтегазовым регионом Российской Федерации, имеет уникальный добывающий и перерабатывающий к</w:t>
      </w:r>
      <w:r>
        <w:rPr>
          <w:rFonts w:ascii="Arial" w:hAnsi="Arial" w:cs="Arial" w:eastAsia="Arial"/>
          <w:sz w:val="20"/>
          <w:szCs w:val="20"/>
          <w:lang w:val="ru-RU" w:bidi="ru-RU"/>
        </w:rPr>
        <w:t xml:space="preserve">омплекс полного цикла. ТЭК определяет основные макроэкономические параметры Томской области, обеспечивая более 30% ВРП и более 40% инвестиций. При этом регион, осознавая риски сохранения зависимости от нефтегазового сектора в связи с негативными конъюнктур</w:t>
      </w:r>
      <w:r>
        <w:rPr>
          <w:rFonts w:ascii="Arial" w:hAnsi="Arial" w:cs="Arial" w:eastAsia="Arial"/>
          <w:sz w:val="20"/>
          <w:szCs w:val="20"/>
          <w:lang w:val="ru-RU" w:bidi="ru-RU"/>
        </w:rPr>
        <w:t xml:space="preserve">ными тенденциями, стремится к формированию нового базового сектора - "альтернативного" ТЭК. Перспективной задачей для Томской области является наращивание технологического и обрабатывающего сектора до сопоставимых с добычей масштабов в структуре экономики.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Достигнуты успехи в развитии обрабатывающих секторов и промышленности высо</w:t>
      </w:r>
      <w:r>
        <w:rPr>
          <w:rFonts w:ascii="Arial" w:hAnsi="Arial" w:cs="Arial" w:eastAsia="Arial"/>
          <w:sz w:val="20"/>
          <w:szCs w:val="20"/>
          <w:lang w:val="ru-RU" w:bidi="ru-RU"/>
        </w:rPr>
        <w:t xml:space="preserve">ких переделов. Прирост объема производства по виду экономической деятельности "Обрабатывающие производства" (в сопоставимых ценах) по отношению к 2013 г. в 2020 г. составил 65,2% при запланированных в Стратегии-2015 - 30,1%. Объемы обрабатывающего производ</w:t>
      </w:r>
      <w:r>
        <w:rPr>
          <w:rFonts w:ascii="Arial" w:hAnsi="Arial" w:cs="Arial" w:eastAsia="Arial"/>
          <w:sz w:val="20"/>
          <w:szCs w:val="20"/>
          <w:lang w:val="ru-RU" w:bidi="ru-RU"/>
        </w:rPr>
        <w:t xml:space="preserve">ства выросли за счет увеличения объемов металлургического и химического производств, пищевых продуктов и продукции деревообрабатывающих отраслей, а также роста производства электронных, резиновых и пластмассовых изделий, лекарственных средств и материалов.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Доля продукции высокотехнологичных и наукоемких отраслей в ВРП в </w:t>
      </w:r>
      <w:r>
        <w:rPr>
          <w:rFonts w:ascii="Arial" w:hAnsi="Arial" w:cs="Arial" w:eastAsia="Arial"/>
          <w:sz w:val="20"/>
          <w:szCs w:val="20"/>
          <w:lang w:val="ru-RU" w:bidi="ru-RU"/>
        </w:rPr>
        <w:t xml:space="preserve">последние годы находилась на уровне 20 - 21%, из которых быстро растущие технологические сектора занимают 5% &lt;2&gt;. Оба показателя имеют существенный потенциал роста с учетом потенциала сектора высшего образования, науки и экосистемы инновационного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&lt;2&gt; В категорию данных секторов экономики входят "Компьютеры, электронные, оптические изделия", "Разработка компьютерного программного обеспечения", "Деятельность в области информационных технологий", "Деятельность в области с</w:t>
      </w:r>
      <w:r>
        <w:rPr>
          <w:rFonts w:ascii="Arial" w:hAnsi="Arial" w:cs="Arial" w:eastAsia="Arial"/>
          <w:sz w:val="20"/>
          <w:szCs w:val="20"/>
          <w:lang w:val="ru-RU" w:bidi="ru-RU"/>
        </w:rPr>
        <w:t xml:space="preserve">вязи на базе проводных технологий", "Обработка древесины и изделия из дерева"; 5% - оценка совокупной доли выручки организаций Томской области по данным направлениям от оборотов всех организаций Томской области. Расчет произведен на основании данных СПАРК.</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Для пере</w:t>
      </w:r>
      <w:r>
        <w:rPr>
          <w:rFonts w:ascii="Arial" w:hAnsi="Arial" w:cs="Arial" w:eastAsia="Arial"/>
          <w:sz w:val="20"/>
          <w:szCs w:val="20"/>
          <w:lang w:val="ru-RU" w:bidi="ru-RU"/>
        </w:rPr>
        <w:t xml:space="preserve">хода на модель интенсивного развития на основе новых технологий реализуется концепция создания конкурентоспособного инновационного территориального центра "ИНО Томск" &lt;3&gt;. Концепция является одним из ключевых инструментов реализации Стратегии-2015, обеспеч</w:t>
      </w:r>
      <w:r>
        <w:rPr>
          <w:rFonts w:ascii="Arial" w:hAnsi="Arial" w:cs="Arial" w:eastAsia="Arial"/>
          <w:sz w:val="20"/>
          <w:szCs w:val="20"/>
          <w:lang w:val="ru-RU" w:bidi="ru-RU"/>
        </w:rPr>
        <w:t xml:space="preserve">ивающим связь региональных и федеральных приоритетов для достижения системных результатов социально-экономического развития. В центре ИНО-Томск концентрируются передовое производство, качественные человеческие ресурсы, создается перспективная технологическ</w:t>
      </w:r>
      <w:r>
        <w:rPr>
          <w:rFonts w:ascii="Arial" w:hAnsi="Arial" w:cs="Arial" w:eastAsia="Arial"/>
          <w:sz w:val="20"/>
          <w:szCs w:val="20"/>
          <w:lang w:val="ru-RU" w:bidi="ru-RU"/>
        </w:rPr>
        <w:t xml:space="preserve">ая база. Проект направлен на координацию мероприятий и программ федерального, регионального и корпоративного уровней, предполагает создание и развитие кластеров, активное применение новых технологий в большинстве традиционных отраслей промышленности, наращ</w:t>
      </w:r>
      <w:r>
        <w:rPr>
          <w:rFonts w:ascii="Arial" w:hAnsi="Arial" w:cs="Arial" w:eastAsia="Arial"/>
          <w:sz w:val="20"/>
          <w:szCs w:val="20"/>
          <w:lang w:val="ru-RU" w:bidi="ru-RU"/>
        </w:rPr>
        <w:t xml:space="preserve">ивание доли инновационного сектора в экономике. В период реализации "ИНО Томск" в Томской области началось создание инфраструктуры нового поколения с благоприятным инвестиционным режимом для развития новых производств, в частности, создана одна из первых в</w:t>
      </w:r>
      <w:r>
        <w:rPr>
          <w:rFonts w:ascii="Arial" w:hAnsi="Arial" w:cs="Arial" w:eastAsia="Arial"/>
          <w:sz w:val="20"/>
          <w:szCs w:val="20"/>
          <w:lang w:val="ru-RU" w:bidi="ru-RU"/>
        </w:rPr>
        <w:t xml:space="preserve"> России в системе ЗАТО территория опережающего социально-экономического развития в ЗАТО "Северск", обеспечено устойчивое развитие особой экономической зоны технико-внедренческого типа "Томск", промышленного парка "Томск" - базовой инфраструктуры для технол</w:t>
      </w:r>
      <w:r>
        <w:rPr>
          <w:rFonts w:ascii="Arial" w:hAnsi="Arial" w:cs="Arial" w:eastAsia="Arial"/>
          <w:sz w:val="20"/>
          <w:szCs w:val="20"/>
          <w:lang w:val="ru-RU" w:bidi="ru-RU"/>
        </w:rPr>
        <w:t xml:space="preserve">огических проектов наукоемких компаний в новых секторах экономики Томской области &lt;4&gt;. Кроме того, создан инновационный кластер "Smart Technologies Tomsk", прошли этап организационного оформления &lt;5&gt; еще пять промышленно-технологических кластеров по приори</w:t>
      </w:r>
      <w:r>
        <w:rPr>
          <w:rFonts w:ascii="Arial" w:hAnsi="Arial" w:cs="Arial" w:eastAsia="Arial"/>
          <w:sz w:val="20"/>
          <w:szCs w:val="20"/>
          <w:lang w:val="ru-RU" w:bidi="ru-RU"/>
        </w:rPr>
        <w:t xml:space="preserve">тетным отраслям экономики - кластер ядерных технологий, нефтехимический, лесопромышленный, кластер технологий переработки возобновляемых природных ресурсов, кластер технологий освоения трудноизвлекаемых запасов нефти. Совместно с крупными национальными кор</w:t>
      </w:r>
      <w:r>
        <w:rPr>
          <w:rFonts w:ascii="Arial" w:hAnsi="Arial" w:cs="Arial" w:eastAsia="Arial"/>
          <w:sz w:val="20"/>
          <w:szCs w:val="20"/>
          <w:lang w:val="ru-RU" w:bidi="ru-RU"/>
        </w:rPr>
        <w:t xml:space="preserve">порациями ("Газпром", "Интер РАО", "Россети", "СИБУР") реализуются дорожные карты по расширению спроса на конечную высокотехнологичную продукцию по направлениям специализации кластеров на основе мощностей местных промышленных предприятий. За счет реализаци</w:t>
      </w:r>
      <w:r>
        <w:rPr>
          <w:rFonts w:ascii="Arial" w:hAnsi="Arial" w:cs="Arial" w:eastAsia="Arial"/>
          <w:sz w:val="20"/>
          <w:szCs w:val="20"/>
          <w:lang w:val="ru-RU" w:bidi="ru-RU"/>
        </w:rPr>
        <w:t xml:space="preserve">и кластерных инициатив увеличена доля продукции высокотехнологичных и наукоемких отраслей экономики в ВРП. Кластерные инициативы также позволили увеличить количество предприятий-экспортеров - среди малых компаний в 2 раза, по средним предприятиям в 3 раза.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&lt;3&gt; Распоряжение Правительства Российской Федерации от 14 января 2015 года N 22-р "О Концепции создания в Томской области инновационного территориального центр "ИНО Томск".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&lt;4&gt; ОЭЗ ТВТ "Томск" учреждена </w:t>
      </w:r>
      <w:hyperlink r:id="rId30" w:tooltip="consultantplus://offline/ref=9ACAA89C6FF58C33776267CAD8136869728D9DFE22E4E55ECD7DFC81A03BC2BCE1AE8B5980D92112FDB3593A53s6I" w:history="1">
        <w:r>
          <w:rPr>
            <w:rFonts w:ascii="Arial" w:hAnsi="Arial" w:cs="Arial" w:eastAsia="Arial"/>
            <w:color w:val="0000FF"/>
            <w:sz w:val="20"/>
            <w:szCs w:val="20"/>
            <w:lang w:val="ru-RU" w:bidi="ru-RU"/>
          </w:rPr>
          <w:t xml:space="preserve">Постановлением</w:t>
        </w:r>
      </w:hyperlink>
      <w:r>
        <w:rPr>
          <w:rFonts w:ascii="Arial" w:hAnsi="Arial" w:cs="Arial" w:eastAsia="Arial"/>
          <w:sz w:val="20"/>
          <w:szCs w:val="20"/>
          <w:lang w:val="ru-RU" w:bidi="ru-RU"/>
        </w:rPr>
        <w:t xml:space="preserve"> Правительства Российской Федерации от 21.12.2005 N 783; ТОСЭР "Северск" учреждена </w:t>
      </w:r>
      <w:hyperlink r:id="rId31" w:tooltip="consultantplus://offline/ref=9ACAA89C6FF58C33776267CAD813686974829EF527E9B854C524F083A7349DB9F4BFD35783C73F15E4AF5B38355Cs4I" w:history="1">
        <w:r>
          <w:rPr>
            <w:rFonts w:ascii="Arial" w:hAnsi="Arial" w:cs="Arial" w:eastAsia="Arial"/>
            <w:color w:val="0000FF"/>
            <w:sz w:val="20"/>
            <w:szCs w:val="20"/>
            <w:lang w:val="ru-RU" w:bidi="ru-RU"/>
          </w:rPr>
          <w:t xml:space="preserve">Постановлением</w:t>
        </w:r>
      </w:hyperlink>
      <w:r>
        <w:rPr>
          <w:rFonts w:ascii="Arial" w:hAnsi="Arial" w:cs="Arial" w:eastAsia="Arial"/>
          <w:sz w:val="20"/>
          <w:szCs w:val="20"/>
          <w:lang w:val="ru-RU" w:bidi="ru-RU"/>
        </w:rPr>
        <w:t xml:space="preserve"> Правительства Российской Федерации от 12.02.2019 N 132, промышленный парк "Томск" внесен в реестр промышленных (индустриальных) парков в Томской области </w:t>
      </w:r>
      <w:hyperlink r:id="rId32" w:tooltip="consultantplus://offline/ref=9ACAA89C6FF58C33776279C7CE7F366D7681C6FA22EBB7009070F6D4F8649BECA6FF8D0ED1837418E0B1473830DB3841AC5Cs0I" w:history="1">
        <w:r>
          <w:rPr>
            <w:rFonts w:ascii="Arial" w:hAnsi="Arial" w:cs="Arial" w:eastAsia="Arial"/>
            <w:color w:val="0000FF"/>
            <w:sz w:val="20"/>
            <w:szCs w:val="20"/>
            <w:lang w:val="ru-RU" w:bidi="ru-RU"/>
          </w:rPr>
          <w:t xml:space="preserve">распоряжением</w:t>
        </w:r>
      </w:hyperlink>
      <w:r>
        <w:rPr>
          <w:rFonts w:ascii="Arial" w:hAnsi="Arial" w:cs="Arial" w:eastAsia="Arial"/>
          <w:sz w:val="20"/>
          <w:szCs w:val="20"/>
          <w:lang w:val="ru-RU" w:bidi="ru-RU"/>
        </w:rPr>
        <w:t xml:space="preserve"> Администрации Томской области от 29.06.2015 N 458-ра.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&lt;5&gt; Сформированы дорожные карт</w:t>
      </w:r>
      <w:r>
        <w:rPr>
          <w:rFonts w:ascii="Arial" w:hAnsi="Arial" w:cs="Arial" w:eastAsia="Arial"/>
          <w:sz w:val="20"/>
          <w:szCs w:val="20"/>
          <w:lang w:val="ru-RU" w:bidi="ru-RU"/>
        </w:rPr>
        <w:t xml:space="preserve">ы и рабочие группы кластеров, привлечены индустриальные партнеры-участники, разработаны и внедрены комплексы стимулирующих мер поддержки компаний для участия в разработческих проектах, привлечены средства из федерального бюджета на поддержку проектов и др.</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Структуру регионального бизнеса отличает сочетание предприятий</w:t>
      </w:r>
      <w:r>
        <w:rPr>
          <w:rFonts w:ascii="Arial" w:hAnsi="Arial" w:cs="Arial" w:eastAsia="Arial"/>
          <w:sz w:val="20"/>
          <w:szCs w:val="20"/>
          <w:lang w:val="ru-RU" w:bidi="ru-RU"/>
        </w:rPr>
        <w:t xml:space="preserve"> - крупных производственных локомотивов национального масштаба с компаниями среднего и малого размера. По данным СПАРК-Интерфакс, по итогам 2020 года в Томской области зарегистрировано 14 компаний с выручкой более 10 млрд рублей и свыше 90 компаний с выруч</w:t>
      </w:r>
      <w:r>
        <w:rPr>
          <w:rFonts w:ascii="Arial" w:hAnsi="Arial" w:cs="Arial" w:eastAsia="Arial"/>
          <w:sz w:val="20"/>
          <w:szCs w:val="20"/>
          <w:lang w:val="ru-RU" w:bidi="ru-RU"/>
        </w:rPr>
        <w:t xml:space="preserve">кой более 1 млрд рублей. Крупный бизнес консолидирует активы в базовых секторах экономики, тогда как локальные компании преимущественно занимаются обслуживанием внутреннего рынка. Ряд малых и средних компаний специализируется на производстве экспортно орие</w:t>
      </w:r>
      <w:r>
        <w:rPr>
          <w:rFonts w:ascii="Arial" w:hAnsi="Arial" w:cs="Arial" w:eastAsia="Arial"/>
          <w:sz w:val="20"/>
          <w:szCs w:val="20"/>
          <w:lang w:val="ru-RU" w:bidi="ru-RU"/>
        </w:rPr>
        <w:t xml:space="preserve">нтированной продукции и услуг высоких переделов. В их числе "новые драйверы" роста - компьютеры, электроника, оптика, программное обеспечение, ИТ- и веб-продукты, продукты на основе глубокой переработки лесных ресурсов и древесины, беспроводные технологии.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занимает лидирующие позиции в</w:t>
      </w:r>
      <w:r>
        <w:rPr>
          <w:rFonts w:ascii="Arial" w:hAnsi="Arial" w:cs="Arial" w:eastAsia="Arial"/>
          <w:sz w:val="20"/>
          <w:szCs w:val="20"/>
          <w:lang w:val="ru-RU" w:bidi="ru-RU"/>
        </w:rPr>
        <w:t xml:space="preserve"> Сибири по развитию малого и среднего предпринимательства (2 место в СФО по количеству субъектов МСП на душу населения). Поддержке МСП уделяется особое внимание на уровне региональных институтов развития. Развиваются услуги льготного кредитования. Проводят</w:t>
      </w:r>
      <w:r>
        <w:rPr>
          <w:rFonts w:ascii="Arial" w:hAnsi="Arial" w:cs="Arial" w:eastAsia="Arial"/>
          <w:sz w:val="20"/>
          <w:szCs w:val="20"/>
          <w:lang w:val="ru-RU" w:bidi="ru-RU"/>
        </w:rPr>
        <w:t xml:space="preserve">ся мероприятия по профессиональной подготовке молодежи субъектов сфере предпринимательства, действует информационно-аналитический ресурс "Малый и средний бизнес Томской области". По сравнению с 2014 г. отмечается общий рост МСП на 754 единицы. Вместе с тем</w:t>
      </w:r>
      <w:r>
        <w:rPr>
          <w:rFonts w:ascii="Arial" w:hAnsi="Arial" w:cs="Arial" w:eastAsia="Arial"/>
          <w:sz w:val="20"/>
          <w:szCs w:val="20"/>
          <w:lang w:val="ru-RU" w:bidi="ru-RU"/>
        </w:rPr>
        <w:t xml:space="preserve"> темпы роста малых и средних предприятий оказались несколько ниже запланированных в Стратегии-2015: в 2017 - 2019 гг. показатель снизился с 22,2 тыс. до 20 тыс. предприятий. Среднесписочная численность работников МСП, включая микропредприятия, снизилась с </w:t>
      </w:r>
      <w:r>
        <w:rPr>
          <w:rFonts w:ascii="Arial" w:hAnsi="Arial" w:cs="Arial" w:eastAsia="Arial"/>
          <w:sz w:val="20"/>
          <w:szCs w:val="20"/>
          <w:lang w:val="ru-RU" w:bidi="ru-RU"/>
        </w:rPr>
        <w:t xml:space="preserve">84,1 тыс. чел. в 2014 г. до 74,9 тыс. чел. в 2019 г. Среди причин снижения активности можно отметить, что более 60% занятых в МСП работает в сфере услуг, где наблюдалось сжатие рынка на фоне сокращения реальных денежных доходов населения по стране в целом.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наращивает позиции как центр притяжения туристов, что создает дополнительные</w:t>
      </w:r>
      <w:r>
        <w:rPr>
          <w:rFonts w:ascii="Arial" w:hAnsi="Arial" w:cs="Arial" w:eastAsia="Arial"/>
          <w:sz w:val="20"/>
          <w:szCs w:val="20"/>
          <w:lang w:val="ru-RU" w:bidi="ru-RU"/>
        </w:rPr>
        <w:t xml:space="preserve"> возможности для развития малого и среднего бизнеса. Так, прирост числа лиц, размещенных в коллективных средствах размещения, расположенных на территории Томской области, по отношению к 2013 году увеличился в 4 раза, составив в 2019 г. 40,36%. Этому способ</w:t>
      </w:r>
      <w:r>
        <w:rPr>
          <w:rFonts w:ascii="Arial" w:hAnsi="Arial" w:cs="Arial" w:eastAsia="Arial"/>
          <w:sz w:val="20"/>
          <w:szCs w:val="20"/>
          <w:lang w:val="ru-RU" w:bidi="ru-RU"/>
        </w:rPr>
        <w:t xml:space="preserve">ствовали создание новых региональных турпродуктов, организация событийных мероприятий, развитие гостиничной инфраструктуры, повышение стандартов обслуживания. Однако по итогам 2020 года из-за пандемии коронавирусной инфекции наблюдалось снижение турпотока.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Два ключевых показателя - доля инвестиций в основной капи</w:t>
      </w:r>
      <w:r>
        <w:rPr>
          <w:rFonts w:ascii="Arial" w:hAnsi="Arial" w:cs="Arial" w:eastAsia="Arial"/>
          <w:sz w:val="20"/>
          <w:szCs w:val="20"/>
          <w:lang w:val="ru-RU" w:bidi="ru-RU"/>
        </w:rPr>
        <w:t xml:space="preserve">тал в ВРП (оценка 2020 г. - 17,8%, план 2020 г. - 28,8%), а также число созданных и модернизированных высокопроизводительных рабочих мест (оценка 2020 г. - 146,5 тыс. ед., план 2020 г. - 160 тыс. ед.) - отстают от запланированных в Стратегии-2015 значений.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 о</w:t>
      </w:r>
      <w:r>
        <w:rPr>
          <w:rFonts w:ascii="Arial" w:hAnsi="Arial" w:cs="Arial" w:eastAsia="Arial"/>
          <w:sz w:val="20"/>
          <w:szCs w:val="20"/>
          <w:lang w:val="ru-RU" w:bidi="ru-RU"/>
        </w:rPr>
        <w:t xml:space="preserve">сновным причинам снижения инвестиционной активности относятся недостаток собственных и заемных средств у инвесторов для осуществления долгосрочных инвестиций, низкий уровень потребительского и инвестиционного спроса, а также особенности инвестиционного лан</w:t>
      </w:r>
      <w:r>
        <w:rPr>
          <w:rFonts w:ascii="Arial" w:hAnsi="Arial" w:cs="Arial" w:eastAsia="Arial"/>
          <w:sz w:val="20"/>
          <w:szCs w:val="20"/>
          <w:lang w:val="ru-RU" w:bidi="ru-RU"/>
        </w:rPr>
        <w:t xml:space="preserve">дшафта Томской области, где более половины объема инвестиций приходится на крупные вертикально интегрированные компании. Существенное влияние на снижение динамики объема инвестиций оказала ситуация в сфере обрабатывающей промышленности, в том числе заверше</w:t>
      </w:r>
      <w:r>
        <w:rPr>
          <w:rFonts w:ascii="Arial" w:hAnsi="Arial" w:cs="Arial" w:eastAsia="Arial"/>
          <w:sz w:val="20"/>
          <w:szCs w:val="20"/>
          <w:lang w:val="ru-RU" w:bidi="ru-RU"/>
        </w:rPr>
        <w:t xml:space="preserve">ние в 2017 - 2018 гг. крупных инвестиционных проектов в химическом производстве, сокращение капиталовложений в ядерном производстве. Не удалось запустить ряд крупных инвестиционных проектов, что привело к снижению объема инвестиций в фактически действовавш</w:t>
      </w:r>
      <w:r>
        <w:rPr>
          <w:rFonts w:ascii="Arial" w:hAnsi="Arial" w:cs="Arial" w:eastAsia="Arial"/>
          <w:sz w:val="20"/>
          <w:szCs w:val="20"/>
          <w:lang w:val="ru-RU" w:bidi="ru-RU"/>
        </w:rPr>
        <w:t xml:space="preserve">их ценах (с 109,4 млрд руб. в 2014 г. до 101,2 млрд руб. в 2020 г.). Требует внимания снижение позиций области в инвестиционных рейтингах &lt;6&gt;. В свою очередь, недостаток инвестиционной активности негативно повлиял на количество и темпы роста создания ВПРМ.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&lt;6&gt; В частности, в национальном рейтинге состояния инвестиционного климата в субъектах Российской Федерации АСИ и рейтингах инвестиционной привлекательности российских регионов Национального Рейтингового Агентства и Эксперт РА за 2017 - 2019 гг.</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Мероприятия по улучшению инвестиционного климата и условий для развития бизнеса пока не привели к необходимым результатам: в регионе все еще присутствуют инфраструктурные и кадровые дефициты для создания новых производств.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 удалось достичь значимых результатов по наращиванию объема экспорта. План по объему поставок за рубеж на 2020 год оказался недовыполнен, составив 31</w:t>
      </w:r>
      <w:r>
        <w:rPr>
          <w:rFonts w:ascii="Arial" w:hAnsi="Arial" w:cs="Arial" w:eastAsia="Arial"/>
          <w:sz w:val="20"/>
          <w:szCs w:val="20"/>
          <w:lang w:val="ru-RU" w:bidi="ru-RU"/>
        </w:rPr>
        <w:t xml:space="preserve">0,1 млн долл. США. Инфраструктурные ограничения ряда районов Томской области стали одной из главных причин невозможности полноценно участвовать на внешних рынках. Другой значимой причиной стало отсутствие компетенций предприятий по выходу на внешние рынки.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Таким образом, стратегическая цель 1 по переходу экономики Томской области на модель интенсивного развития, св</w:t>
      </w:r>
      <w:r>
        <w:rPr>
          <w:rFonts w:ascii="Arial" w:hAnsi="Arial" w:cs="Arial" w:eastAsia="Arial"/>
          <w:sz w:val="20"/>
          <w:szCs w:val="20"/>
          <w:lang w:val="ru-RU" w:bidi="ru-RU"/>
        </w:rPr>
        <w:t xml:space="preserve">язанная с созданием высокотехнологичных производств, условий для инвестиций и экспорта, развитием предпринимательства, по состоянию на 2020 год реализуется медленнее, чем было запланировано. Наблюдается недостижение желаемого уровня по числу ВПРМ, объему и</w:t>
      </w:r>
      <w:r>
        <w:rPr>
          <w:rFonts w:ascii="Arial" w:hAnsi="Arial" w:cs="Arial" w:eastAsia="Arial"/>
          <w:sz w:val="20"/>
          <w:szCs w:val="20"/>
          <w:lang w:val="ru-RU" w:bidi="ru-RU"/>
        </w:rPr>
        <w:t xml:space="preserve">нвестиций, объему добычи полезных ископаемых, доле занятых в МСП, продукции высокотехнологичных и наукоемких отраслей, объему экспорта. Своевременное достижение данной цели к 2030 году потребует дополнительных мероприятий в контексте новых внешних условий.</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Цель 2. Рациональное использование природного капитала</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Томской области, устойчивое развитие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агропромышленного комплекса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Томской области удалось успешно реализовать большую часть задач, направленных на развитие агропромышленн</w:t>
      </w:r>
      <w:r>
        <w:rPr>
          <w:rFonts w:ascii="Arial" w:hAnsi="Arial" w:cs="Arial" w:eastAsia="Arial"/>
          <w:sz w:val="20"/>
          <w:szCs w:val="20"/>
          <w:lang w:val="ru-RU" w:bidi="ru-RU"/>
        </w:rPr>
        <w:t xml:space="preserve">ого комплекса и рациональное использование природного капитала. Область приняла вызов по интенсивному развитию АПК в сложной климатической зоне, обеспечила масштабную поддержку сельхозпредприятий. Сегодня АПК является одним из локомотивов развития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Комплекс мероприятий по государственной поддержке сельхозтоваропроизводителей позволил реализовать ряд крупных инвестиционных проектов, обеспечить прирост объема</w:t>
      </w:r>
      <w:r>
        <w:rPr>
          <w:rFonts w:ascii="Arial" w:hAnsi="Arial" w:cs="Arial" w:eastAsia="Arial"/>
          <w:sz w:val="20"/>
          <w:szCs w:val="20"/>
          <w:lang w:val="ru-RU" w:bidi="ru-RU"/>
        </w:rPr>
        <w:t xml:space="preserve"> производства продукции сельского хозяйства (в сопоставимых ценах) по отношению к уровню 2013 года, в 2020 году 12,7% при запланированных в Стратегии-2015 8%. Росту этого показателя способствовали внедрение передовых мировых практик ведения сельского хозяй</w:t>
      </w:r>
      <w:r>
        <w:rPr>
          <w:rFonts w:ascii="Arial" w:hAnsi="Arial" w:cs="Arial" w:eastAsia="Arial"/>
          <w:sz w:val="20"/>
          <w:szCs w:val="20"/>
          <w:lang w:val="ru-RU" w:bidi="ru-RU"/>
        </w:rPr>
        <w:t xml:space="preserve">ства в условиях рискованного земледелия, развитие производств, ранее не представленных на отечественных рынках, техническое перевооружение отрасли, реализация мероприятий программ "Поддержка начинающих фермеров" и "Развитие семейных животноводческих ферм".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 лидер в СФО по молочной продуктивности коров в сельхозорганизациях (кроме микропредприятий), имеет показате</w:t>
      </w:r>
      <w:r>
        <w:rPr>
          <w:rFonts w:ascii="Arial" w:hAnsi="Arial" w:cs="Arial" w:eastAsia="Arial"/>
          <w:sz w:val="20"/>
          <w:szCs w:val="20"/>
          <w:lang w:val="ru-RU" w:bidi="ru-RU"/>
        </w:rPr>
        <w:t xml:space="preserve">ли выше среднего уровня по России (2020 г. - 7088 кг, что на 505 кг больше уровня 2019 г.). В сфере растениеводства Томская область занимает 1 место в СФО по темпам уборки, 2 место - по урожайности зерновых и зернобобовых, 3 место - по урожайности пшеницы.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Рентабельность сельскохозяйственных организаций с учетом субсидий в 2020 г. составила 20,4% при плановом значении 15% за счет высокого валового уровня рентабельности по молочному скотоводству, птицеводству, свиноводству.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Среднемесячная заработная плата работников сельского хозяйства (без субъектов малого пред</w:t>
      </w:r>
      <w:r>
        <w:rPr>
          <w:rFonts w:ascii="Arial" w:hAnsi="Arial" w:cs="Arial" w:eastAsia="Arial"/>
          <w:sz w:val="20"/>
          <w:szCs w:val="20"/>
          <w:lang w:val="ru-RU" w:bidi="ru-RU"/>
        </w:rPr>
        <w:t xml:space="preserve">принимательства) в 2020 г. составила 78,3% по отношению к среднемесячной номинальной начисленной заработной плате в регионе при плановом значении 69%. Достижение показателя обусловлено ростом эффективности и производительности сельскохозяйственной отрасли.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рыбохозяйственной от</w:t>
      </w:r>
      <w:r>
        <w:rPr>
          <w:rFonts w:ascii="Arial" w:hAnsi="Arial" w:cs="Arial" w:eastAsia="Arial"/>
          <w:sz w:val="20"/>
          <w:szCs w:val="20"/>
          <w:lang w:val="ru-RU" w:bidi="ru-RU"/>
        </w:rPr>
        <w:t xml:space="preserve">расли объем переработки рыбо- и морепродуктов в 2020 г. достиг уровня 3,8 тыс. тонн при плановых значениях в 3,6 тыс. тонн. К главным причинам роста можно отнести строительство рыбоконсервного завода в Александровском районе и рыбоперерабатывающего завода </w:t>
      </w:r>
      <w:r>
        <w:rPr>
          <w:rFonts w:ascii="Arial" w:hAnsi="Arial" w:cs="Arial" w:eastAsia="Arial"/>
          <w:sz w:val="20"/>
          <w:szCs w:val="20"/>
          <w:lang w:val="ru-RU" w:bidi="ru-RU"/>
        </w:rPr>
        <w:t xml:space="preserve">в п. Предтеченск, использование инструментов государственной поддержки предприятий рыбохозяйственного комплекса по приобретению оборудования, кормов и рыбопосадочного материала, технологической модернизации и расширению производств, ассортимента продукции.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сельского хозяйства Томской области актуальной остается проблема сокращения занятости при высокой кадровой потребности. Не</w:t>
      </w:r>
      <w:r>
        <w:rPr>
          <w:rFonts w:ascii="Arial" w:hAnsi="Arial" w:cs="Arial" w:eastAsia="Arial"/>
          <w:sz w:val="20"/>
          <w:szCs w:val="20"/>
          <w:lang w:val="ru-RU" w:bidi="ru-RU"/>
        </w:rPr>
        <w:t xml:space="preserve">обходима диверсификация рынков сбыта и объемов экспорта, усиление кооперации производителей. Необходимо наращивать продуктивность предприятий растениеводства и животноводства, расширять сырьевую базу для глубокой переработки продукции, увеличивать экспорт.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сфере рационального использования природных ресурсов превышен плановый показатель по лесистости территории Томской области: в 2020 г. составил 61,2% при плановом значени</w:t>
      </w:r>
      <w:r>
        <w:rPr>
          <w:rFonts w:ascii="Arial" w:hAnsi="Arial" w:cs="Arial" w:eastAsia="Arial"/>
          <w:sz w:val="20"/>
          <w:szCs w:val="20"/>
          <w:lang w:val="ru-RU" w:bidi="ru-RU"/>
        </w:rPr>
        <w:t xml:space="preserve">и не менее 60%. Этому способствовали ежегодные мероприятия по лесовосстановлению, переводу лесных культур (молодых лесных насаждений менее 10 лет) в покрытую лесом площадь, компенсационное лесовосстановление для линейных объектов. Региональная лесопромышле</w:t>
      </w:r>
      <w:r>
        <w:rPr>
          <w:rFonts w:ascii="Arial" w:hAnsi="Arial" w:cs="Arial" w:eastAsia="Arial"/>
          <w:sz w:val="20"/>
          <w:szCs w:val="20"/>
          <w:lang w:val="ru-RU" w:bidi="ru-RU"/>
        </w:rPr>
        <w:t xml:space="preserve">нная политика направлена на поддержку проектов, минимизацию воздействия на окружающую среду, улучшение качественного состава древостоев, в том числе за счет вовлечения в технологический оборот древесных отходов, а также низкосортной и лиственной древесины.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Объем загрязнений на единицу ВРП в 2020 году составил 41</w:t>
      </w:r>
      <w:r>
        <w:rPr>
          <w:rFonts w:ascii="Arial" w:hAnsi="Arial" w:cs="Arial" w:eastAsia="Arial"/>
          <w:sz w:val="20"/>
          <w:szCs w:val="20"/>
          <w:lang w:val="ru-RU" w:bidi="ru-RU"/>
        </w:rPr>
        <w:t xml:space="preserve">8,8 тонн/млрд руб. при плановом значении 566,3 тонн/млрд руб. Основное снижение выбросов связано с реализацией программ по утилизации попутного нефтяного газа предприятиями нефтегазодобывающего комплекса. Приоритетными направлениями повышения эффективности</w:t>
      </w:r>
      <w:r>
        <w:rPr>
          <w:rFonts w:ascii="Arial" w:hAnsi="Arial" w:cs="Arial" w:eastAsia="Arial"/>
          <w:sz w:val="20"/>
          <w:szCs w:val="20"/>
          <w:lang w:val="ru-RU" w:bidi="ru-RU"/>
        </w:rPr>
        <w:t xml:space="preserve"> использования попутного нефтяного газа в Томской области являются развитие системы сбора и транспортировки газа, подготовка и сдача газа в газотранспортную систему ПАО "Газпром", а также использование попутного нефтяного газа для выработки электроэнергии.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Томской области уровень загрязнения атмосферного воздуха является низким по сравнению с другими </w:t>
      </w:r>
      <w:r>
        <w:rPr>
          <w:rFonts w:ascii="Arial" w:hAnsi="Arial" w:cs="Arial" w:eastAsia="Arial"/>
          <w:sz w:val="20"/>
          <w:szCs w:val="20"/>
          <w:lang w:val="ru-RU" w:bidi="ru-RU"/>
        </w:rPr>
        <w:t xml:space="preserve">регионами СФО; индекс загрязнения атмосферы г. Томска равен 4. В структуре валового объема выбросов загрязняющих веществ в атмосферный воздух области продолжают доминировать выбросы от деятельности стационарных источников (64,5% от валового объема). В 2019</w:t>
      </w:r>
      <w:r>
        <w:rPr>
          <w:rFonts w:ascii="Arial" w:hAnsi="Arial" w:cs="Arial" w:eastAsia="Arial"/>
          <w:sz w:val="20"/>
          <w:szCs w:val="20"/>
          <w:lang w:val="ru-RU" w:bidi="ru-RU"/>
        </w:rPr>
        <w:t xml:space="preserve"> году на долю стационарных объектов пришлось 225,1 тыс. тонн, что выше среднего значения по России (209 тыс. тонн). В разрезе отраслей производства основной вклад в загрязнение атмосферы приходится на выбросы предприятий топливно-энергетического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Целевой показатель по доле отходов производства, вовлекаемых во вторичное использование, в 2020 г. не был достигнут: при плановом показателе в 50% фактический составил 15%.</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Таким образом, стратегическая цель 2, направленная на устойчивое развитие агропромышленного комплекса Томской области, </w:t>
      </w:r>
      <w:r>
        <w:rPr>
          <w:rFonts w:ascii="Arial" w:hAnsi="Arial" w:cs="Arial" w:eastAsia="Arial"/>
          <w:sz w:val="20"/>
          <w:szCs w:val="20"/>
          <w:lang w:val="ru-RU" w:bidi="ru-RU"/>
        </w:rPr>
        <w:t xml:space="preserve">рациональное использование природного капитала, за период 2015 - 2020 гг. реализуется в целом в соответствии с планом Стратегии-2015. Задачи, направленные на достижение данной цели (рост объема производства продукции сельского хозяйства, объема переработки</w:t>
      </w:r>
      <w:r>
        <w:rPr>
          <w:rFonts w:ascii="Arial" w:hAnsi="Arial" w:cs="Arial" w:eastAsia="Arial"/>
          <w:sz w:val="20"/>
          <w:szCs w:val="20"/>
          <w:lang w:val="ru-RU" w:bidi="ru-RU"/>
        </w:rPr>
        <w:t xml:space="preserve"> рыбо- и морепродуктов, рентабельности сельскохозяйственных организаций, снижение выбросов), выполнены успешно. Тем не менее в части обеспечения качества окружающей среды требуется выработать новые механизмы и мероприятия, в частности по работе с отходами.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Цель 3. Повышение уровня и качества жизни населения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на всей территории Томской области, накопление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человеческого капитала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Третья ключевая цель стратегии реализуется </w:t>
      </w:r>
      <w:r>
        <w:rPr>
          <w:rFonts w:ascii="Arial" w:hAnsi="Arial" w:cs="Arial" w:eastAsia="Arial"/>
          <w:sz w:val="20"/>
          <w:szCs w:val="20"/>
          <w:lang w:val="ru-RU" w:bidi="ru-RU"/>
        </w:rPr>
        <w:t xml:space="preserve">достаточно успешно. В социальной сфере удалось решить ряд общественно значимых задач, устранить или снизить диспропорции. Ряд долгосрочных тенденций социального развития имеет при этом неблагоприятный характер, обусловленный в том числе внешними факторами.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Качество жизни в Томской области постепенно растет. Наблюдается стабильность сводного индекса качества жизни, который фор</w:t>
      </w:r>
      <w:r>
        <w:rPr>
          <w:rFonts w:ascii="Arial" w:hAnsi="Arial" w:cs="Arial" w:eastAsia="Arial"/>
          <w:sz w:val="20"/>
          <w:szCs w:val="20"/>
          <w:lang w:val="ru-RU" w:bidi="ru-RU"/>
        </w:rPr>
        <w:t xml:space="preserve">мируют 12 показателей. По четырем из них отмечена положительная динамика, еще по трем слабая динамика с сохранением примерно на уровне 2019 года. Фактическое значение индекса по итогам 2020 года составило 95,3%, что обусловлено снижением динамики среднедуш</w:t>
      </w:r>
      <w:r>
        <w:rPr>
          <w:rFonts w:ascii="Arial" w:hAnsi="Arial" w:cs="Arial" w:eastAsia="Arial"/>
          <w:sz w:val="20"/>
          <w:szCs w:val="20"/>
          <w:lang w:val="ru-RU" w:bidi="ru-RU"/>
        </w:rPr>
        <w:t xml:space="preserve">евых доходов и уровня занятости населения, в том числе на фоне влияния на экономику региона пандемии коронавирусной инфекции. Вследствие неблагоприятных демографических тенденций снижается численность учащихся профессиональных учебных заведений всех видов.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 индексу качества городской среды город Томск достиг значения 180 баллов из максимально возможных 360 баллов, что представляется недостаточным для сохранения и воспроизводства качественного человеческого капитала.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2019 го</w:t>
      </w:r>
      <w:r>
        <w:rPr>
          <w:rFonts w:ascii="Arial" w:hAnsi="Arial" w:cs="Arial" w:eastAsia="Arial"/>
          <w:sz w:val="20"/>
          <w:szCs w:val="20"/>
          <w:lang w:val="ru-RU" w:bidi="ru-RU"/>
        </w:rPr>
        <w:t xml:space="preserve">ду область поднялась на 45 место в рейтинге регионов по качеству жизни, улучшив позиции по сравнению с 2018 годом на 6 пунктов (с 51 места). Регион находится на 12 месте в России по уровню доступности жилья. По состоянию на 2020 год жилищные условия улучши</w:t>
      </w:r>
      <w:r>
        <w:rPr>
          <w:rFonts w:ascii="Arial" w:hAnsi="Arial" w:cs="Arial" w:eastAsia="Arial"/>
          <w:sz w:val="20"/>
          <w:szCs w:val="20"/>
          <w:lang w:val="ru-RU" w:bidi="ru-RU"/>
        </w:rPr>
        <w:t xml:space="preserve">ли более 26 тысяч семей, а к 2024 году таких семей должно быть уже не менее 36,1 тысячи. Общая площадь жилых помещений, приходящаяся в среднем на 1 жителя Томской области, по итогам 2020 года составила 25,6 кв. м и достигла планового значения (25,5 кв. 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Пол</w:t>
      </w:r>
      <w:r>
        <w:rPr>
          <w:rFonts w:ascii="Arial" w:hAnsi="Arial" w:cs="Arial" w:eastAsia="Arial"/>
          <w:sz w:val="20"/>
          <w:szCs w:val="20"/>
          <w:lang w:val="ru-RU" w:bidi="ru-RU"/>
        </w:rPr>
        <w:t xml:space="preserve">ожительных результатов удалось добиться в сфере развития здравоохранения благодаря высокой ресурсной обеспеченности сектора в регионе. В частности, Томская область занимает 14 место в Российской Федерации по обеспеченности врачами в 2020 году, 9 место по ч</w:t>
      </w:r>
      <w:r>
        <w:rPr>
          <w:rFonts w:ascii="Arial" w:hAnsi="Arial" w:cs="Arial" w:eastAsia="Arial"/>
          <w:sz w:val="20"/>
          <w:szCs w:val="20"/>
          <w:lang w:val="ru-RU" w:bidi="ru-RU"/>
        </w:rPr>
        <w:t xml:space="preserve">ислу больничных коек на 10 тыс. населения. Регион обеспечен квалифицированными кадрами в медицине: СибГМУ - входит в ТОП-3 медицинских образовательных организаций высшего образования Российской Федерации. Уровень младенческой смертности сократился до 4,5 с</w:t>
      </w:r>
      <w:r>
        <w:rPr>
          <w:rFonts w:ascii="Arial" w:hAnsi="Arial" w:cs="Arial" w:eastAsia="Arial"/>
          <w:sz w:val="20"/>
          <w:szCs w:val="20"/>
          <w:lang w:val="ru-RU" w:bidi="ru-RU"/>
        </w:rPr>
        <w:t xml:space="preserve">лучая в 2020 году - это один из самых низких показателей в СФО (5,5). Достижению данного результата способствовала действующая служба родовспоможения Томской области, создание трехуровневой системы оказания медицинской помощи во время беременности и родов.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За период реализации Стратегии удалось существенно повысить безопасность жизнедеятельности населения Томской области, о чем говорит снижение в 2020 году числа зарегистрирован</w:t>
      </w:r>
      <w:r>
        <w:rPr>
          <w:rFonts w:ascii="Arial" w:hAnsi="Arial" w:cs="Arial" w:eastAsia="Arial"/>
          <w:sz w:val="20"/>
          <w:szCs w:val="20"/>
          <w:lang w:val="ru-RU" w:bidi="ru-RU"/>
        </w:rPr>
        <w:t xml:space="preserve">ных преступлений до 1611,5 случая на 100 тыс. человек населения и смертности от дорожно-транспортных происшествий до 8,24 на 100 тыс. человек. Положительная динамика обусловлена повышением эффективности работы органов правопорядка и улучшением технической </w:t>
      </w:r>
      <w:r>
        <w:rPr>
          <w:rFonts w:ascii="Arial" w:hAnsi="Arial" w:cs="Arial" w:eastAsia="Arial"/>
          <w:sz w:val="20"/>
          <w:szCs w:val="20"/>
          <w:lang w:val="ru-RU" w:bidi="ru-RU"/>
        </w:rPr>
        <w:t xml:space="preserve">оснащенности служб безопасности дорожного движения. Установлены стационарные автоматические комплексы контроля и выявления нарушений правил дорожного движения, приобретены мобильные комплексы фиксации нарушений скоростного режима. С 2017 г. внедряются серв</w:t>
      </w:r>
      <w:r>
        <w:rPr>
          <w:rFonts w:ascii="Arial" w:hAnsi="Arial" w:cs="Arial" w:eastAsia="Arial"/>
          <w:sz w:val="20"/>
          <w:szCs w:val="20"/>
          <w:lang w:val="ru-RU" w:bidi="ru-RU"/>
        </w:rPr>
        <w:t xml:space="preserve">исы АПК "Безопасный город". За анализируемый период удалось снизить количество чрезвычайных ситуаций и причиненного от них ущерба за счет внедрения современных технических средств предупреждения и ликвидации ЧС и повышения качества профилактической работы.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Томской области в целом решена проблема обеспеченности населения местами в дошкольных учреждениях, в том числе за счет участия в федеральных проектах и программ</w:t>
      </w:r>
      <w:r>
        <w:rPr>
          <w:rFonts w:ascii="Arial" w:hAnsi="Arial" w:cs="Arial" w:eastAsia="Arial"/>
          <w:sz w:val="20"/>
          <w:szCs w:val="20"/>
          <w:lang w:val="ru-RU" w:bidi="ru-RU"/>
        </w:rPr>
        <w:t xml:space="preserve">ах строительства новых детских садов, создания дополнительных мест в действующих образовательных организациях и частных дошкольных образовательных организациях (в 2020 г. доступно 720 мест на 1000 детей от 0 до 7 лет, что соответствует плановому значению).</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Область укрепляет позиции как центр школьного образования, где в опоре на научно-методологические разработки развивается одно из сильнейших в стране педагогических сообществ. Доля выпуск</w:t>
      </w:r>
      <w:r>
        <w:rPr>
          <w:rFonts w:ascii="Arial" w:hAnsi="Arial" w:cs="Arial" w:eastAsia="Arial"/>
          <w:sz w:val="20"/>
          <w:szCs w:val="20"/>
          <w:lang w:val="ru-RU" w:bidi="ru-RU"/>
        </w:rPr>
        <w:t xml:space="preserve">ников общеобразовательных организаций, не сдавших единый государственный экзамен, сократилась почти до 0. Это связано с высоким качеством общеобразовательной подготовки выпускников, уровнем технического оснащения школ, качеством преподавательского состава.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Растет востребованность выпускников системы профессиональной подготовки, о чем свидетельствует рос</w:t>
      </w:r>
      <w:r>
        <w:rPr>
          <w:rFonts w:ascii="Arial" w:hAnsi="Arial" w:cs="Arial" w:eastAsia="Arial"/>
          <w:sz w:val="20"/>
          <w:szCs w:val="20"/>
          <w:lang w:val="ru-RU" w:bidi="ru-RU"/>
        </w:rPr>
        <w:t xml:space="preserve">т доли выпускников образовательных организаций профессионального образования, трудоустроившихся по специальности (с 58% в 2013 г. до 65,9% в 2020 г.). Этого удалось достичь благодаря созданному в 2018 году Координационному совету по кадровому обеспечению э</w:t>
      </w:r>
      <w:r>
        <w:rPr>
          <w:rFonts w:ascii="Arial" w:hAnsi="Arial" w:cs="Arial" w:eastAsia="Arial"/>
          <w:sz w:val="20"/>
          <w:szCs w:val="20"/>
          <w:lang w:val="ru-RU" w:bidi="ru-RU"/>
        </w:rPr>
        <w:t xml:space="preserve">кономики Томской области при Губернаторе Томской области, реализации модели Центра опережающей профессиональной подготовки (ЦОПП), новых форматов подготовки (Фабрика процессов), реализации регионального проекта "Молодые профессионалы" и других мероприятий.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играет значимую роль </w:t>
      </w:r>
      <w:r>
        <w:rPr>
          <w:rFonts w:ascii="Arial" w:hAnsi="Arial" w:cs="Arial" w:eastAsia="Arial"/>
          <w:sz w:val="20"/>
          <w:szCs w:val="20"/>
          <w:lang w:val="ru-RU" w:bidi="ru-RU"/>
        </w:rPr>
        <w:t xml:space="preserve">в повышении качества российского высшего образования и продвижении его на международных рынках. На уровне страны Томск входит в десятку ведущих регионов по качеству набора абитуриентов. Также область сохраняет привлекательность для студентов со всего мира.</w:t>
      </w:r>
      <w:r>
        <w:rPr>
          <w:rFonts w:ascii="Arial" w:hAnsi="Arial" w:cs="Arial" w:eastAsia="Arial"/>
          <w:sz w:val="20"/>
          <w:szCs w:val="20"/>
          <w:lang w:val="ru-RU" w:bidi="ru-RU"/>
        </w:rPr>
        <w:t xml:space="preserve"> Томск занимает сильные позиции в рейтинге глобальных студенческих городов (73 место в мире, 3 место среди российских городов), входит в пятерку лучших и доступных городов мира за счет более низких затрат на проживание по сравнению с крупными мегаполисами.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Ежегодно растет число возможностей для молодежи. В 2019 году Томская область поднялась на 11 пунктов в рейтинге реализации государственной молодежной политики и заняла 4 место среди регионов СФО и 36 место по России. Ведется активная работа по вовлеч</w:t>
      </w:r>
      <w:r>
        <w:rPr>
          <w:rFonts w:ascii="Arial" w:hAnsi="Arial" w:cs="Arial" w:eastAsia="Arial"/>
          <w:sz w:val="20"/>
          <w:szCs w:val="20"/>
          <w:lang w:val="ru-RU" w:bidi="ru-RU"/>
        </w:rPr>
        <w:t xml:space="preserve">ению молодежи в волонтерское движение, а число волонтеров ежегодно растет. Результатом реализации молодежной политики стал показатель доли молодежи 14 - 30 лет, положительно оценивающей возможности для развития и самореализации в регионе в 47% в 2020 году.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Томской области значительно увеличилась доля населения, систематически занимающегося физической культурой и спортом (с 18,8% </w:t>
      </w:r>
      <w:r>
        <w:rPr>
          <w:rFonts w:ascii="Arial" w:hAnsi="Arial" w:cs="Arial" w:eastAsia="Arial"/>
          <w:sz w:val="20"/>
          <w:szCs w:val="20"/>
          <w:lang w:val="ru-RU" w:bidi="ru-RU"/>
        </w:rPr>
        <w:t xml:space="preserve">в 2014 году до 41,8% в 2020 году). Этому способствовали организация и проведение спортивных мероприятий для различных групп населения. За последние годы практически в два раза увеличилось количество физкультурных мероприятий; реализуются мероприятия Всерос</w:t>
      </w:r>
      <w:r>
        <w:rPr>
          <w:rFonts w:ascii="Arial" w:hAnsi="Arial" w:cs="Arial" w:eastAsia="Arial"/>
          <w:sz w:val="20"/>
          <w:szCs w:val="20"/>
          <w:lang w:val="ru-RU" w:bidi="ru-RU"/>
        </w:rPr>
        <w:t xml:space="preserve">сийского физкультурно-спортивного комплекса "Готов к труду и обороне", осуществляется продвижение физической культуры, спорта и здорового образа жизни в медиасреде. Уровень обеспеченности населения спортивными сооружениями в 2020 году составляет более 50%.</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Растет вовлеченность жителей в культурно-досуговую жизнь региона. Этому поспособствовали мероприятия национального </w:t>
      </w:r>
      <w:hyperlink r:id="rId33" w:tooltip="consultantplus://offline/ref=9ACAA89C6FF58C33776267CAD8136869748B91F523E8B854C524F083A7349DB9F4BFD35783C73F15E4AF5B38355Cs4I" w:history="1">
        <w:r>
          <w:rPr>
            <w:rFonts w:ascii="Arial" w:hAnsi="Arial" w:cs="Arial" w:eastAsia="Arial"/>
            <w:color w:val="0000FF"/>
            <w:sz w:val="20"/>
            <w:szCs w:val="20"/>
            <w:lang w:val="ru-RU" w:bidi="ru-RU"/>
          </w:rPr>
          <w:t xml:space="preserve">проекта</w:t>
        </w:r>
      </w:hyperlink>
      <w:r>
        <w:rPr>
          <w:rFonts w:ascii="Arial" w:hAnsi="Arial" w:cs="Arial" w:eastAsia="Arial"/>
          <w:sz w:val="20"/>
          <w:szCs w:val="20"/>
          <w:lang w:val="ru-RU" w:bidi="ru-RU"/>
        </w:rPr>
        <w:t xml:space="preserve"> "Культура", проведение работ по улучшению услуг в сфере культуры для городского и сельского населения. Индекс участия населения в культурно-досуговых мероприятиях, проводимых госу</w:t>
      </w:r>
      <w:r>
        <w:rPr>
          <w:rFonts w:ascii="Arial" w:hAnsi="Arial" w:cs="Arial" w:eastAsia="Arial"/>
          <w:sz w:val="20"/>
          <w:szCs w:val="20"/>
          <w:lang w:val="ru-RU" w:bidi="ru-RU"/>
        </w:rPr>
        <w:t xml:space="preserve">дарственными и муниципальными учреждениями культуры, в 2020 году составил 2.2, что связано с введением ограничительных мер (организации культуры были закрыты к посещению), при этом показатель 2019 года почти в 2 раза превысил запланированный и достиг 4,64.</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Томской области до 2019 года планомерно снижался уровень безработицы, который по итогам 2019 года достиг 5,5% (при </w:t>
      </w:r>
      <w:r>
        <w:rPr>
          <w:rFonts w:ascii="Arial" w:hAnsi="Arial" w:cs="Arial" w:eastAsia="Arial"/>
          <w:sz w:val="20"/>
          <w:szCs w:val="20"/>
          <w:lang w:val="ru-RU" w:bidi="ru-RU"/>
        </w:rPr>
        <w:t xml:space="preserve">значении данного показателя в 2013 году в 7,6%). В целях повышения уровня трудоустройства органами службы занятости привлекается к сотрудничеству большое число работодателей, развиваются партнерские отношения с кадровыми службами предприятий. Взаимодействи</w:t>
      </w:r>
      <w:r>
        <w:rPr>
          <w:rFonts w:ascii="Arial" w:hAnsi="Arial" w:cs="Arial" w:eastAsia="Arial"/>
          <w:sz w:val="20"/>
          <w:szCs w:val="20"/>
          <w:lang w:val="ru-RU" w:bidi="ru-RU"/>
        </w:rPr>
        <w:t xml:space="preserve">е работодателей со службой занятости происходит в том числе посредством электронных сервисов информационно-аналитической системы Общероссийская база вакансий "Работа в России" и Интерактивного портала службы занятости населения Томской области. Службой зан</w:t>
      </w:r>
      <w:r>
        <w:rPr>
          <w:rFonts w:ascii="Arial" w:hAnsi="Arial" w:cs="Arial" w:eastAsia="Arial"/>
          <w:sz w:val="20"/>
          <w:szCs w:val="20"/>
          <w:lang w:val="ru-RU" w:bidi="ru-RU"/>
        </w:rPr>
        <w:t xml:space="preserve">ятости проводятся ярмарки вакансий, курсы профессиональной подготовки ("Школьный учитель", "IТ-Старт" и др.). За счет принятых мер наблюдались положительные результаты по коэффициенту напряженности на рынке труда (составил в 2019 году 0,5% при плане 0,7%).</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Однако в 2020 году в связи с распространением коронавирусной инфекции рынок труда Томской области столкнулся с серьезными вызовами. В органы службы занятости обратились 55,2 тыс. человек, что в два раза больше, чем за 2019 год. Уровень безработицы сос</w:t>
      </w:r>
      <w:r>
        <w:rPr>
          <w:rFonts w:ascii="Arial" w:hAnsi="Arial" w:cs="Arial" w:eastAsia="Arial"/>
          <w:sz w:val="20"/>
          <w:szCs w:val="20"/>
          <w:lang w:val="ru-RU" w:bidi="ru-RU"/>
        </w:rPr>
        <w:t xml:space="preserve">тавил 8,6%, коэффициент напряженности на рынке труда составил 3,0 человека. Рост этих показателей связан в первую как с сокращением спроса на рабочую силу в сложный экономический период, так и с введением электронного заявительного порядка для безработных.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Преимуществом Томской области является объединенная региональная система защиты семьи и детства, которая позволяет комплексно подходить к решению межведомственных задач, эффективно внедрять современные те</w:t>
      </w:r>
      <w:r>
        <w:rPr>
          <w:rFonts w:ascii="Arial" w:hAnsi="Arial" w:cs="Arial" w:eastAsia="Arial"/>
          <w:sz w:val="20"/>
          <w:szCs w:val="20"/>
          <w:lang w:val="ru-RU" w:bidi="ru-RU"/>
        </w:rPr>
        <w:t xml:space="preserve">хнологии работы с семьей и детьми. Период 2014 - 2020 гг. характеризуется снижением доли детей-сирот и детей, оставшихся без попечения родителей (с 2,58% в 2014 году до 1,97% в 2020 году), на фоне роста общей численности детского населения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 же время сохраняется ряд проблем и вызовов развития социальной сферы: по ряду показателей в сфере здравоохранения, демографии</w:t>
      </w:r>
      <w:r>
        <w:rPr>
          <w:rFonts w:ascii="Arial" w:hAnsi="Arial" w:cs="Arial" w:eastAsia="Arial"/>
          <w:sz w:val="20"/>
          <w:szCs w:val="20"/>
          <w:lang w:val="ru-RU" w:bidi="ru-RU"/>
        </w:rPr>
        <w:t xml:space="preserve">, миграции, качества жизни и городской среды. Обращают на себя внимание ухудшающиеся демографические показатели: отрицательный естественный прирост (-4,1 на тыс. чел. населения по состоянию на 2020 год), процесс старения, обусловленный снижением рождаемост</w:t>
      </w:r>
      <w:r>
        <w:rPr>
          <w:rFonts w:ascii="Arial" w:hAnsi="Arial" w:cs="Arial" w:eastAsia="Arial"/>
          <w:sz w:val="20"/>
          <w:szCs w:val="20"/>
          <w:lang w:val="ru-RU" w:bidi="ru-RU"/>
        </w:rPr>
        <w:t xml:space="preserve">и и оттоком молодых специалистов из региона. Наблюдается рост общей и первичной заболеваемости населения, особенно детей и пожилых людей &lt;7&gt;. Показатель ожидаемой продолжительности жизни по итогам 2020 г. оказался практически на уровне 2014 года и составил</w:t>
      </w:r>
      <w:r>
        <w:rPr>
          <w:rFonts w:ascii="Arial" w:hAnsi="Arial" w:cs="Arial" w:eastAsia="Arial"/>
          <w:sz w:val="20"/>
          <w:szCs w:val="20"/>
          <w:lang w:val="ru-RU" w:bidi="ru-RU"/>
        </w:rPr>
        <w:t xml:space="preserve"> 71,2 года (план - 74 года), что связано в том числе с негативными последствиями пандемии. За период реализации Стратегии наблюдалась положительная динамика данного показателя: по итогам 2019 года ожидаемая продолжительность жизни увеличилась до 72,85 лет.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&lt;7&gt; Первичная заболеваемость детей от 0 до 14 лет увели</w:t>
      </w:r>
      <w:r>
        <w:rPr>
          <w:rFonts w:ascii="Arial" w:hAnsi="Arial" w:cs="Arial" w:eastAsia="Arial"/>
          <w:sz w:val="20"/>
          <w:szCs w:val="20"/>
          <w:lang w:val="ru-RU" w:bidi="ru-RU"/>
        </w:rPr>
        <w:t xml:space="preserve">чилась с 310 тыс. случаев в 2014 году до 354 тыс. случаев в 2019, общая с 370 тыс. случаев до 442 тыс. случаев. За тот же период первичная заболеваемость людей пожилого возраста выросла с 105 тыс. случаев до 118 тыс. случаев, общая - с 470 тыс. до 512 тыс.</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условиях сложной макроэкономической ситуации динамика среднедушевых денежных доходов населения была сдержанной, а реальные располагаемые денежные доходы населения сократились на 17% к уровню 2013 г., тогда как к 2020 г. планировался прирост на 2,7%.</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Одной из главных проблем в рассматриваемый период стало выбытие молодых профессионалов: особенно выражен отток специалистов ИТ-сферы за рубеж &lt;8&gt;. Среди причин отъезда м</w:t>
      </w:r>
      <w:r>
        <w:rPr>
          <w:rFonts w:ascii="Arial" w:hAnsi="Arial" w:cs="Arial" w:eastAsia="Arial"/>
          <w:sz w:val="20"/>
          <w:szCs w:val="20"/>
          <w:lang w:val="ru-RU" w:bidi="ru-RU"/>
        </w:rPr>
        <w:t xml:space="preserve">олодых профессионалов - ограничение карьерного роста, низкий уровень оплаты труда высококвалифицированных рабочих мест по сравнению с мегаполисами, недостаточно развитая социальная инфраструктура, слабое развитие сектора креативных услуг и развлечений &lt;9&gt;.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&lt;8&gt; Проблема актуальна для 21% компаний Томской области (при среднем показателе по России в 17%).</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&lt;9&gt; По данным социологического исследования (проведено Фондом "ЦСР "Северо-Запад", сентябрь 2020 г.), более </w:t>
      </w:r>
      <w:r>
        <w:rPr>
          <w:rFonts w:ascii="Arial" w:hAnsi="Arial" w:cs="Arial" w:eastAsia="Arial"/>
          <w:sz w:val="20"/>
          <w:szCs w:val="20"/>
          <w:lang w:val="ru-RU" w:bidi="ru-RU"/>
        </w:rPr>
        <w:t xml:space="preserve">трети респондентов (35,5%) в возрасте 15 - 40 лет не планируют оставаться в Томской области. Среди причин, вынуждающих молодых людей покидать регион, на первом месте находятся проблемы с трудоустройством (39,8%) (в опросе приняло участие 3972 респондента).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Несмотря на реализуемые меры, не удалось существенно снизить уровень бедности: значение данного показателя стабильно превышает среднероссийские и в 2020 г. составило 14,4%.</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Таким образом, цель 3, направленная на повышение уровня и качества жизни населения на всей территории Томской</w:t>
      </w:r>
      <w:r>
        <w:rPr>
          <w:rFonts w:ascii="Arial" w:hAnsi="Arial" w:cs="Arial" w:eastAsia="Arial"/>
          <w:sz w:val="20"/>
          <w:szCs w:val="20"/>
          <w:lang w:val="ru-RU" w:bidi="ru-RU"/>
        </w:rPr>
        <w:t xml:space="preserve"> области, накопление человеческого капитала, в целом реализуется относительно успешно: отмечаются высокое качество образования, снижение зарегистрированных преступлений, рост населения, систематически занимающегося физической культурой и спортом, снижение </w:t>
      </w:r>
      <w:r>
        <w:rPr>
          <w:rFonts w:ascii="Arial" w:hAnsi="Arial" w:cs="Arial" w:eastAsia="Arial"/>
          <w:sz w:val="20"/>
          <w:szCs w:val="20"/>
          <w:lang w:val="ru-RU" w:bidi="ru-RU"/>
        </w:rPr>
        <w:t xml:space="preserve">доли детей-сирот. Тем не менее ряд тенденций социального развития имеет неблагоприятный характер, в частности естественная убыль населения, высокая доля населения с денежными доходами ниже величины прожиточного минимума, относительно невысокое качество жиз</w:t>
      </w:r>
      <w:r>
        <w:rPr>
          <w:rFonts w:ascii="Arial" w:hAnsi="Arial" w:cs="Arial" w:eastAsia="Arial"/>
          <w:sz w:val="20"/>
          <w:szCs w:val="20"/>
          <w:lang w:val="ru-RU" w:bidi="ru-RU"/>
        </w:rPr>
        <w:t xml:space="preserve">ни и городской среды, падение объемов ввода жилья. Требуется создание в регионе среды для комфортной и безопасной жизни, отдыха и работы, получения качественных социальных услуг, реализации профессионального и творческого потенциала жителей всех возрастов.</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Цель 4. Сбалансированное территориальное развитие за счет</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развития инфраструктуры в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рамках цели решаются задачи развития и эксплуатации инженерной и транспортной инфраструктуры, однако основные инфраструктурные ограничения преодолеть пока не удалось.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Темпы снижения энергоемкости валового регионального продукта на протяжении рассматриваемого периода превышали плановые значения Стратегии-2015: в 2020 г. значение п</w:t>
      </w:r>
      <w:r>
        <w:rPr>
          <w:rFonts w:ascii="Arial" w:hAnsi="Arial" w:cs="Arial" w:eastAsia="Arial"/>
          <w:sz w:val="20"/>
          <w:szCs w:val="20"/>
          <w:lang w:val="ru-RU" w:bidi="ru-RU"/>
        </w:rPr>
        <w:t xml:space="preserve">оказателя к 2013 г. составило 29,14% при запланированных 7,7%. Такой эффект был достигнут за счет модернизации топливно-энергетического комплекса, технического переоснащения производственных предприятий, рационального использования энергетических ресурсов.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Удалось превысить плановые значения по п</w:t>
      </w:r>
      <w:r>
        <w:rPr>
          <w:rFonts w:ascii="Arial" w:hAnsi="Arial" w:cs="Arial" w:eastAsia="Arial"/>
          <w:sz w:val="20"/>
          <w:szCs w:val="20"/>
          <w:lang w:val="ru-RU" w:bidi="ru-RU"/>
        </w:rPr>
        <w:t xml:space="preserve">ротяженности автомобильных дорог общего пользования с твердым покрытием: 7519,4 км в 2020 году при плановом значении 7382,3 км. Рост показателя обеспечен за счет инвентаризации автомобильных дорог местного значения и проведения ремонтно-строительных работ.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 2020 году сформирована удобная для жителей Томской области маршрутная сеть из аэропорта Томск, построенная на связях с узловыми аэропортами страны (Новосибирск, Кра</w:t>
      </w:r>
      <w:r>
        <w:rPr>
          <w:rFonts w:ascii="Arial" w:hAnsi="Arial" w:cs="Arial" w:eastAsia="Arial"/>
          <w:sz w:val="20"/>
          <w:szCs w:val="20"/>
          <w:lang w:val="ru-RU" w:bidi="ru-RU"/>
        </w:rPr>
        <w:t xml:space="preserve">сноярск, Екатеринбург, Иркутск, Тюмень, Казань и др.). За счет введения авиарейсов по новым региональным и внутриобластным направлениям, а также увеличением частоты выполнения рейсов на существующих авиамаршрутах выстроена положительная динамика по количес</w:t>
      </w:r>
      <w:r>
        <w:rPr>
          <w:rFonts w:ascii="Arial" w:hAnsi="Arial" w:cs="Arial" w:eastAsia="Arial"/>
          <w:sz w:val="20"/>
          <w:szCs w:val="20"/>
          <w:lang w:val="ru-RU" w:bidi="ru-RU"/>
        </w:rPr>
        <w:t xml:space="preserve">тву совершенных в год авиарейсов. В 2019 году количество авиарейсов составило 5175 при запланированных 4220. При этом в 2020 году из-за введенных ограничений, связанных с распространением коронавирусной инфекции, пассажиропоток снизился более чем в 2 раза.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Несмотря на определенные успехи, ряд инфраструктурных ограничений в регионе по-прежнему сохраняется. В частности, пока Томской области не удалось достичь запланированного уровня по объемам грузовых перевозок автомобильным транспортом. По </w:t>
      </w:r>
      <w:r>
        <w:rPr>
          <w:rFonts w:ascii="Arial" w:hAnsi="Arial" w:cs="Arial" w:eastAsia="Arial"/>
          <w:sz w:val="20"/>
          <w:szCs w:val="20"/>
          <w:lang w:val="ru-RU" w:bidi="ru-RU"/>
        </w:rPr>
        <w:t xml:space="preserve">итогам 2020 года показатель уступил плановому значению и составил 35,0 млн тонн (план 2020 г. - 41,9), что связано с последствиями экономического спада, а также перераспределением грузовых потоков в пользу железнодорожного и внутреннего водного транспорта.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Доля жилищного фонда, оборудованного водопроводом, уступает плановым значениям: в 2020 г. составила 81,5% при запланированных 87%. Причиной является удаленность некоторых населенных пунктов от водопровод</w:t>
      </w:r>
      <w:r>
        <w:rPr>
          <w:rFonts w:ascii="Arial" w:hAnsi="Arial" w:cs="Arial" w:eastAsia="Arial"/>
          <w:sz w:val="20"/>
          <w:szCs w:val="20"/>
          <w:lang w:val="ru-RU" w:bidi="ru-RU"/>
        </w:rPr>
        <w:t xml:space="preserve">ных сетей, высокая стоимость соединения с существующей инфраструктурой ЖКХ. При этом снижается количество аварий в системах теплоснабжения, водоснабжения и очистки сточных вод: 164 против запланированных 300, что обусловлено мероприятиями по ремонту сетей.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Уровень газификации природным газом жилого фонда Томской области, подлежащего газификации, в 2020 г. составил 40% при запланированных 50%. Недостижение пока</w:t>
      </w:r>
      <w:r>
        <w:rPr>
          <w:rFonts w:ascii="Arial" w:hAnsi="Arial" w:cs="Arial" w:eastAsia="Arial"/>
          <w:sz w:val="20"/>
          <w:szCs w:val="20"/>
          <w:lang w:val="ru-RU" w:bidi="ru-RU"/>
        </w:rPr>
        <w:t xml:space="preserve">зателя связано с поэтапным принципом введения в эксплуатацию газораспределительных сетей, удаленностью значительного количества населенных пунктов Томской области от газораспределительных сетей, что делает строительство новых сетей чрезмерно дорогостоящим.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 уровню транспортной связанности территории Томской области за счет развития транспортного сообщения и обеспечения доступа к современным услугам связи пока также не удалось достичь желаемых результатов. Доля населенных пунк</w:t>
      </w:r>
      <w:r>
        <w:rPr>
          <w:rFonts w:ascii="Arial" w:hAnsi="Arial" w:cs="Arial" w:eastAsia="Arial"/>
          <w:sz w:val="20"/>
          <w:szCs w:val="20"/>
          <w:lang w:val="ru-RU" w:bidi="ru-RU"/>
        </w:rPr>
        <w:t xml:space="preserve">тов, не обеспеченных регулярным транспортным сообщением, в 2020 г. составила 35,5% против запланированных 33,8%. Показатель не выполнен в связи с ограниченным объемом муниципальных дорожных фондов. Доля населения, обеспеченного доступом к современным услуг</w:t>
      </w:r>
      <w:r>
        <w:rPr>
          <w:rFonts w:ascii="Arial" w:hAnsi="Arial" w:cs="Arial" w:eastAsia="Arial"/>
          <w:sz w:val="20"/>
          <w:szCs w:val="20"/>
          <w:lang w:val="ru-RU" w:bidi="ru-RU"/>
        </w:rPr>
        <w:t xml:space="preserve">ам связи, в 2020 году составила 97,7% против запланированных 98,8%. Часть населенных пунктов значительно удалена от областного центра, имеет малую численность населения, что делает затруднительным и дорогостоящим их подключение к современным услугам связи.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Появление новых рыночных возможностей для развития отраслей - прежде всего возможность наращивания присутствия на рынках лесной продукции и продовольствия, требует ускоренного развития соответствующей транспортной и инженерной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Несмотря на обширную площадь (316,9 тыс. кв. км) регион сохраняет стабильный "компактный" фо</w:t>
      </w:r>
      <w:r>
        <w:rPr>
          <w:rFonts w:ascii="Arial" w:hAnsi="Arial" w:cs="Arial" w:eastAsia="Arial"/>
          <w:sz w:val="20"/>
          <w:szCs w:val="20"/>
          <w:lang w:val="ru-RU" w:bidi="ru-RU"/>
        </w:rPr>
        <w:t xml:space="preserve">рмат системы расселения: концентрация в Южном поясе незначительно выросла за последние несколько лет и составляет уже более 82% жителей. В период реализации Стратегии сохранились тенденции в развитии экономических поясов территории, намеченные ранее: потер</w:t>
      </w:r>
      <w:r>
        <w:rPr>
          <w:rFonts w:ascii="Arial" w:hAnsi="Arial" w:cs="Arial" w:eastAsia="Arial"/>
          <w:sz w:val="20"/>
          <w:szCs w:val="20"/>
          <w:lang w:val="ru-RU" w:bidi="ru-RU"/>
        </w:rPr>
        <w:t xml:space="preserve">я населения и инвестиций в центральном экономическом поясе, потеря населения при росте объемов добывающей промышленности в северном поясе, рост населения и в целом стабильное экономическое развитие южного экономического пояса с ядром в Томской агломерации.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 уровне каждого муниципального образования, включая 16 муниципальных районов и 4 городских округа, приняты стратегии экономического развития, в которых заложе</w:t>
      </w:r>
      <w:r>
        <w:rPr>
          <w:rFonts w:ascii="Arial" w:hAnsi="Arial" w:cs="Arial" w:eastAsia="Arial"/>
          <w:sz w:val="20"/>
          <w:szCs w:val="20"/>
          <w:lang w:val="ru-RU" w:bidi="ru-RU"/>
        </w:rPr>
        <w:t xml:space="preserve">ны решения по созданию новой экономической базы, диверсификации, реализуются инвестиционная и предпринимательская политики. Однако усилия по созданию основ для новой занятости и диверсификации экономики в муниципалитетах пока не дали значительного эффекта.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Диверсификация экономики большинства м</w:t>
      </w:r>
      <w:r>
        <w:rPr>
          <w:rFonts w:ascii="Arial" w:hAnsi="Arial" w:cs="Arial" w:eastAsia="Arial"/>
          <w:sz w:val="20"/>
          <w:szCs w:val="20"/>
          <w:lang w:val="ru-RU" w:bidi="ru-RU"/>
        </w:rPr>
        <w:t xml:space="preserve">униципальных образований идет медленными темпами. В большей части муниципальных образований Томской области по-прежнему превалирует хозяйственный уклад с преобладанием факторов "первой природы", когда экономика строится на добыче природных ресурсов с их ча</w:t>
      </w:r>
      <w:r>
        <w:rPr>
          <w:rFonts w:ascii="Arial" w:hAnsi="Arial" w:cs="Arial" w:eastAsia="Arial"/>
          <w:sz w:val="20"/>
          <w:szCs w:val="20"/>
          <w:lang w:val="ru-RU" w:bidi="ru-RU"/>
        </w:rPr>
        <w:t xml:space="preserve">стичной переработкой, а уровень жизни населения находится в высокой зависимости от деятельности бюджетного сектора. В противовес этому развитие Томской агломерации происходит по интенсивному пути - за счет факторов "второй природы", то есть благодаря наращ</w:t>
      </w:r>
      <w:r>
        <w:rPr>
          <w:rFonts w:ascii="Arial" w:hAnsi="Arial" w:cs="Arial" w:eastAsia="Arial"/>
          <w:sz w:val="20"/>
          <w:szCs w:val="20"/>
          <w:lang w:val="ru-RU" w:bidi="ru-RU"/>
        </w:rPr>
        <w:t xml:space="preserve">иванию инновационного потенциала и повышению качества человеческого капитала. Несмотря на активную поддержку субъектов МСП в рамках муниципальных программ развития, уровень предпринимательской инициативы в муниципальных образованиях остается недостаточным.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Муниципальные образования Томской области все еще испытывают дефициты в сфере транспортно</w:t>
      </w:r>
      <w:r>
        <w:rPr>
          <w:rFonts w:ascii="Arial" w:hAnsi="Arial" w:cs="Arial" w:eastAsia="Arial"/>
          <w:sz w:val="20"/>
          <w:szCs w:val="20"/>
          <w:lang w:val="ru-RU" w:bidi="ru-RU"/>
        </w:rPr>
        <w:t xml:space="preserve">й инфраструктуры, энергетики, современной промышленно-технологической базы, кадров. За период 2014 - 2020 гг. в результате недофинансирования транспортного комплекса из федерального бюджета не начата реализация крупных инфраструктурных проектов (отдельных </w:t>
      </w:r>
      <w:r>
        <w:rPr>
          <w:rFonts w:ascii="Arial" w:hAnsi="Arial" w:cs="Arial" w:eastAsia="Arial"/>
          <w:sz w:val="20"/>
          <w:szCs w:val="20"/>
          <w:lang w:val="ru-RU" w:bidi="ru-RU"/>
        </w:rPr>
        <w:t xml:space="preserve">участков Северной широтной автомобильной дороги; автомобильной дороги Томск - Тайга; строительство газопровода "Сила Сибири"), 34% населенных пунктов по-прежнему не имеют связи с райцентрами и областным центром по автомобильным дорогам с твердым покрытием.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Как результат обозначенных выше диспропорций - население региона концентрируе</w:t>
      </w:r>
      <w:r>
        <w:rPr>
          <w:rFonts w:ascii="Arial" w:hAnsi="Arial" w:cs="Arial" w:eastAsia="Arial"/>
          <w:sz w:val="20"/>
          <w:szCs w:val="20"/>
          <w:lang w:val="ru-RU" w:bidi="ru-RU"/>
        </w:rPr>
        <w:t xml:space="preserve">тся в Томской агломерации, поддерживая тем самым естественные процессы урбанизации и концентрации населения в точках размещения центральных офисов управления высокоиндустриализированными и технологическими секторами. В отдаленных районах наблюдается дефици</w:t>
      </w:r>
      <w:r>
        <w:rPr>
          <w:rFonts w:ascii="Arial" w:hAnsi="Arial" w:cs="Arial" w:eastAsia="Arial"/>
          <w:sz w:val="20"/>
          <w:szCs w:val="20"/>
          <w:lang w:val="ru-RU" w:bidi="ru-RU"/>
        </w:rPr>
        <w:t xml:space="preserve">т квалифицированных кадров, как следствие - сокращение численности населения в целом (практически во всех муниципалитетах кроме г. Томска и Томского района наблюдается стабильный отток населения как за счет естественной убыли, так и в результате миграции).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Таким образом, стратегическая цель 4, отражающая развитие инфраструктуры и сбалансированное территориальное развитие в Томской области, достигнута частично. Несмотря на активные действия и определенные успехи, связанные со снижением энергоемкости ВРП, раз</w:t>
      </w:r>
      <w:r>
        <w:rPr>
          <w:rFonts w:ascii="Arial" w:hAnsi="Arial" w:cs="Arial" w:eastAsia="Arial"/>
          <w:sz w:val="20"/>
          <w:szCs w:val="20"/>
          <w:lang w:val="ru-RU" w:bidi="ru-RU"/>
        </w:rPr>
        <w:t xml:space="preserve">витием дорожной инфраструктуры, снижением количества аварий в системах ЖКХ, значительно продвинуться на пути снятия основных инфраструктурных ограничений региону пока не удалось. Сохраняются проблемы со снижением объема грузовых перевозок автомобильным тра</w:t>
      </w:r>
      <w:r>
        <w:rPr>
          <w:rFonts w:ascii="Arial" w:hAnsi="Arial" w:cs="Arial" w:eastAsia="Arial"/>
          <w:sz w:val="20"/>
          <w:szCs w:val="20"/>
          <w:lang w:val="ru-RU" w:bidi="ru-RU"/>
        </w:rPr>
        <w:t xml:space="preserve">нспортом, низкая обеспеченность удаленных населенных пунктов современной транспортной и инженерной инфраструктурой. Направление территориального развития требует усиления, внедрения новых механизмов обеспечения сбалансированного пространственного развития.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Цель 5. Эффективное управление регионом</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Томской области удалось решить значительную часть задач, направленных на рост качества регионального</w:t>
      </w:r>
      <w:r>
        <w:rPr>
          <w:rFonts w:ascii="Arial" w:hAnsi="Arial" w:cs="Arial" w:eastAsia="Arial"/>
          <w:sz w:val="20"/>
          <w:szCs w:val="20"/>
          <w:lang w:val="ru-RU" w:bidi="ru-RU"/>
        </w:rPr>
        <w:t xml:space="preserve"> управления. За период 2014 - 2020 гг. упор в модернизации системы регионального управления был сделан на информатизацию (позднее - цифровизацию) госуслуг, внедрение системы управления по целевому принципу, результатам и ключевым показателям эффективности.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сфере информатизации (цифровизации) государственного у</w:t>
      </w:r>
      <w:r>
        <w:rPr>
          <w:rFonts w:ascii="Arial" w:hAnsi="Arial" w:cs="Arial" w:eastAsia="Arial"/>
          <w:sz w:val="20"/>
          <w:szCs w:val="20"/>
          <w:lang w:val="ru-RU" w:bidi="ru-RU"/>
        </w:rPr>
        <w:t xml:space="preserve">правления было достигнуто высокое качество предоставления государственных и муниципальных услуг, в том числе по принципу "одного окна". В национальных рейтингах открытости Томская область входит в ТОП-5 субъектов России по предоставлению "открытых данных".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Создана региональная система межведо</w:t>
      </w:r>
      <w:r>
        <w:rPr>
          <w:rFonts w:ascii="Arial" w:hAnsi="Arial" w:cs="Arial" w:eastAsia="Arial"/>
          <w:sz w:val="20"/>
          <w:szCs w:val="20"/>
          <w:lang w:val="ru-RU" w:bidi="ru-RU"/>
        </w:rPr>
        <w:t xml:space="preserve">мственного электронного взаимодействия (РСМЭВ). Расширилась региональная сеть многофункциональных центров по предоставлению государственных и муниципальных услуг (создано 19 отделов МФЦ и 38 территориально обособленных подразделений). Около 70% жителей име</w:t>
      </w:r>
      <w:r>
        <w:rPr>
          <w:rFonts w:ascii="Arial" w:hAnsi="Arial" w:cs="Arial" w:eastAsia="Arial"/>
          <w:sz w:val="20"/>
          <w:szCs w:val="20"/>
          <w:lang w:val="ru-RU" w:bidi="ru-RU"/>
        </w:rPr>
        <w:t xml:space="preserve">ют личные кабинеты на Едином портале государственных и муниципальных услуг. Обеспечено предоставление в электронной форме 100% первоочередных услуг. Более 93% граждан имеют доступ к получению государственных и муниципальных услуг по принципу "одного окна".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Успешно производится переход на современные решения электронного взаимодействия с федеральными органами государственной власти</w:t>
      </w:r>
      <w:r>
        <w:rPr>
          <w:rFonts w:ascii="Arial" w:hAnsi="Arial" w:cs="Arial" w:eastAsia="Arial"/>
          <w:sz w:val="20"/>
          <w:szCs w:val="20"/>
          <w:lang w:val="ru-RU" w:bidi="ru-RU"/>
        </w:rPr>
        <w:t xml:space="preserve">. Развиваются цифровые сервисы, растет уровень информатизации: по значению данного показателя Томская область является одним из лидеров в СФО и занимает высокие позиции в общероссийских рейтингах, посвященных развитию цифровых технологий и информационных т</w:t>
      </w:r>
      <w:r>
        <w:rPr>
          <w:rFonts w:ascii="Arial" w:hAnsi="Arial" w:cs="Arial" w:eastAsia="Arial"/>
          <w:sz w:val="20"/>
          <w:szCs w:val="20"/>
          <w:lang w:val="ru-RU" w:bidi="ru-RU"/>
        </w:rPr>
        <w:t xml:space="preserve">ехнологий (ИТ). Согласно рейтингу "Цифровая Россия" (Сколково, 2018 г.), Томская область находится на 3-м месте среди регионов СФО. Степень удовлетворенности жителей качеством предоставления государственных и муниципальных услуг к 2020 году достигла 94,7%.</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Управление региональными финансами в Томской области осуществляется достаточно эффективно. Реализуется ряд механизмов, направленных на повышение эффективности бюджетных расходов. Начиная с 2015 года формирование областного бюджета осуществляе</w:t>
      </w:r>
      <w:r>
        <w:rPr>
          <w:rFonts w:ascii="Arial" w:hAnsi="Arial" w:cs="Arial" w:eastAsia="Arial"/>
          <w:sz w:val="20"/>
          <w:szCs w:val="20"/>
          <w:lang w:val="ru-RU" w:bidi="ru-RU"/>
        </w:rPr>
        <w:t xml:space="preserve">тся по программно-целевому принципу на основе государственных программ, позволяющих увязать бюджетные расходы с достижением показателей стратегических целей и задач. Доля "программных" расходов в общем объеме расходов консолидированного бюджета Томской обл</w:t>
      </w:r>
      <w:r>
        <w:rPr>
          <w:rFonts w:ascii="Arial" w:hAnsi="Arial" w:cs="Arial" w:eastAsia="Arial"/>
          <w:sz w:val="20"/>
          <w:szCs w:val="20"/>
          <w:lang w:val="ru-RU" w:bidi="ru-RU"/>
        </w:rPr>
        <w:t xml:space="preserve">асти составляет свыше 98%. Ежегодно актуализируется нормативная правовая база, направленная на эффективное использование бюджетных средств органами государственной власти и областными государственными учреждениями, совершенствование межбюджетных отношений.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 2018 года реализуется проект "Инициативное бюджетирование", направленный на вовлечение населения в принятие и реализацию</w:t>
      </w:r>
      <w:r>
        <w:rPr>
          <w:rFonts w:ascii="Arial" w:hAnsi="Arial" w:cs="Arial" w:eastAsia="Arial"/>
          <w:sz w:val="20"/>
          <w:szCs w:val="20"/>
          <w:lang w:val="ru-RU" w:bidi="ru-RU"/>
        </w:rPr>
        <w:t xml:space="preserve"> бюджетных решений на муниципальном уровне. Проведен ряд мероприятий по повышению прозрачности региональных финансов, в том числе путем формирования информации о бюджете в доступной для населения форме ("Бюджет для граждан"). С 2014 года Томская область, п</w:t>
      </w:r>
      <w:r>
        <w:rPr>
          <w:rFonts w:ascii="Arial" w:hAnsi="Arial" w:cs="Arial" w:eastAsia="Arial"/>
          <w:sz w:val="20"/>
          <w:szCs w:val="20"/>
          <w:lang w:val="ru-RU" w:bidi="ru-RU"/>
        </w:rPr>
        <w:t xml:space="preserve">о оценке Министерства финансов Российской Федерации, отличалась надлежащим качеством управления региональными финансами (в 2015 году был установлен высокий уровень управления региональными финансами). Однако по итогам 2019 года из-за резкого падения собств</w:t>
      </w:r>
      <w:r>
        <w:rPr>
          <w:rFonts w:ascii="Arial" w:hAnsi="Arial" w:cs="Arial" w:eastAsia="Arial"/>
          <w:sz w:val="20"/>
          <w:szCs w:val="20"/>
          <w:lang w:val="ru-RU" w:bidi="ru-RU"/>
        </w:rPr>
        <w:t xml:space="preserve">енных доходных источников областного бюджета и, как следствие, роста долговой нагрузки, степень качества управления региональными финансами Томской области впервые была снижена. Тем не менее по сравнению с 2018 годом регион в 2019 году улучшил свои позиции</w:t>
      </w:r>
      <w:r>
        <w:rPr>
          <w:rFonts w:ascii="Arial" w:hAnsi="Arial" w:cs="Arial" w:eastAsia="Arial"/>
          <w:sz w:val="20"/>
          <w:szCs w:val="20"/>
          <w:lang w:val="ru-RU" w:bidi="ru-RU"/>
        </w:rPr>
        <w:t xml:space="preserve"> по ряду показателей, оцениваемых Министерством финансов Российской Федерации в рамках мониторинга качества управления региональными финансами, в первую очередь по показателям, характеризующим эффективность межбюджетных отношений и бюджетного планирования.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Об эффективности управления государственными закупками свидетель</w:t>
      </w:r>
      <w:r>
        <w:rPr>
          <w:rFonts w:ascii="Arial" w:hAnsi="Arial" w:cs="Arial" w:eastAsia="Arial"/>
          <w:sz w:val="20"/>
          <w:szCs w:val="20"/>
          <w:lang w:val="ru-RU" w:bidi="ru-RU"/>
        </w:rPr>
        <w:t xml:space="preserve">ствует такой показатель, как 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В 2020 году он составил 14,7% (цель 2020 г. - 7% и выше).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Поддерживается высокая степень использования государственного недвижимого имущества, 95% которого в 2020 году применялась для выполнения полномочий органов исполнительной власти Томской области (цель 2020 г. - 90%).</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Растет доступность возможностей для повышения квалификации государственных служащих и занятых в бюджетном секторе, степень удовлетворенности жителей деятельностью </w:t>
      </w:r>
      <w:r>
        <w:rPr>
          <w:rFonts w:ascii="Arial" w:hAnsi="Arial" w:cs="Arial" w:eastAsia="Arial"/>
          <w:sz w:val="20"/>
          <w:szCs w:val="20"/>
          <w:lang w:val="ru-RU" w:bidi="ru-RU"/>
        </w:rPr>
        <w:t xml:space="preserve">органов исполнительной власти. В Томской области реализуются образовательные программы "Руководитель цифровой трансформации", "Остров 10-21", "Развитие цифровой трансформации" и "Управление, основанное на данных - Chief Data Officer в органах власти" и др.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Результатом принятых мер является рост доли населения, удовлетворенного деятельностью государственных органов исполнительной власти региона, до 41% при запланированных 37% в 2020 году.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Таким образом, стратегическая цель 5, направленная на эффективное управление регионом, в целом реализуется успешно. Наблюдаются рост удовлетворенности жителей ка</w:t>
      </w:r>
      <w:r>
        <w:rPr>
          <w:rFonts w:ascii="Arial" w:hAnsi="Arial" w:cs="Arial" w:eastAsia="Arial"/>
          <w:sz w:val="20"/>
          <w:szCs w:val="20"/>
          <w:lang w:val="ru-RU" w:bidi="ru-RU"/>
        </w:rPr>
        <w:t xml:space="preserve">чеством предоставления услуг, рост доли граждан, имеющих доступ к получению услуг по принципу "одного окна", рост эффективности бюджетных расходов, эффективности управления государственным имуществом, эффективности регионального и муниципального управления</w:t>
      </w:r>
      <w:r>
        <w:rPr>
          <w:rFonts w:ascii="Arial" w:hAnsi="Arial" w:cs="Arial" w:eastAsia="Arial"/>
          <w:sz w:val="20"/>
          <w:szCs w:val="20"/>
          <w:lang w:val="ru-RU" w:bidi="ru-RU"/>
        </w:rPr>
        <w:t xml:space="preserve">. Однако быстро меняющиеся условия внешней среды требуют от системы регионального управления гибкости и адаптивности, использования новых, эффективных подходов и инструментов, направленных на достижение целевых показателей стратегического развития региона.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Сводный результат оценки достижения целей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Стратегии с 2014 по 2020 годы</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Социально-экономическая ситуация в Томской области по итогам реализации предыдущего этапа Стратегии мож</w:t>
      </w:r>
      <w:r>
        <w:rPr>
          <w:rFonts w:ascii="Arial" w:hAnsi="Arial" w:cs="Arial" w:eastAsia="Arial"/>
          <w:sz w:val="20"/>
          <w:szCs w:val="20"/>
          <w:lang w:val="ru-RU" w:bidi="ru-RU"/>
        </w:rPr>
        <w:t xml:space="preserve">ет быть охарактеризована как "инерционная стабильность". Многие показатели, характеризующие достижение целей и задач, показывали положительную динамику, включая рост обрабатывающих производств, производства продукции сельского хозяйства, снижение энергоемк</w:t>
      </w:r>
      <w:r>
        <w:rPr>
          <w:rFonts w:ascii="Arial" w:hAnsi="Arial" w:cs="Arial" w:eastAsia="Arial"/>
          <w:sz w:val="20"/>
          <w:szCs w:val="20"/>
          <w:lang w:val="ru-RU" w:bidi="ru-RU"/>
        </w:rPr>
        <w:t xml:space="preserve">ости ВРП, развитие дорожной инфраструктуры, рост числа созданных и модернизированных высокопроизводительных рабочих мест. Однако невысокие темпы роста экономики и снижение объемов инвестиций пока не позволили обеспечить заложенную в Стратегии-2015 скорость</w:t>
      </w:r>
      <w:r>
        <w:rPr>
          <w:rFonts w:ascii="Arial" w:hAnsi="Arial" w:cs="Arial" w:eastAsia="Arial"/>
          <w:sz w:val="20"/>
          <w:szCs w:val="20"/>
          <w:lang w:val="ru-RU" w:bidi="ru-RU"/>
        </w:rPr>
        <w:t xml:space="preserve"> структурной перестройки региональной экономики. Наблюдался слабый рост добычи полезных ископаемых, реальных располагаемых денежных доходов населения, численности населения. Таким образом, регион развивался скорее по "консервативному" сценарию (таблица 1).</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1 - Сравнение фактической и прогнозной динамики</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основных показателей социально-экономического развития</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Томской области по сценариям</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jc w:val="center"/>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2211"/>
        <w:gridCol w:w="1928"/>
        <w:gridCol w:w="784"/>
        <w:gridCol w:w="784"/>
        <w:gridCol w:w="784"/>
        <w:gridCol w:w="784"/>
        <w:gridCol w:w="784"/>
        <w:gridCol w:w="979"/>
      </w:tblGrid>
      <w:tr>
        <w:trPr>
          <w:jc w:val="center"/>
        </w:trPr>
        <w:tc>
          <w:tcPr>
            <w:tcBorders>
              <w:left w:val="single" w:color="000000" w:sz="4" w:space="0"/>
              <w:top w:val="single" w:color="000000" w:sz="4" w:space="0"/>
              <w:right w:val="single" w:color="000000" w:sz="4" w:space="0"/>
              <w:bottom w:val="single" w:color="000000" w:sz="4" w:space="0"/>
            </w:tcBorders>
            <w:tcW w:w="221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Показатель</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Сценарий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2017</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w:t>
            </w:r>
            <w:r/>
          </w:p>
        </w:tc>
        <w:tc>
          <w:tcPr>
            <w:tcBorders>
              <w:left w:val="single" w:color="000000" w:sz="4" w:space="0"/>
              <w:top w:val="single" w:color="000000" w:sz="4" w:space="0"/>
              <w:right w:val="single" w:color="000000" w:sz="4" w:space="0"/>
              <w:bottom w:val="single" w:color="000000" w:sz="4" w:space="0"/>
            </w:tcBorders>
            <w:tcW w:w="97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Темп прироста валового регионального продукта в сопоставимых ценах, % к предыдущему году</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0,4</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0,7</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-8,2</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(оценка)</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оптимистический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Индекс производства по виду экономической деятельности "Обрабатывающие производства" (в сопоставимых ценах), % к предыдущему году</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109,3</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108,6</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101,8</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104,6</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104,8</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оптимистический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105,8</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105,7</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Индекс производства по виду экономической деятельности "Добыча полезных ископаемых" (в сопоставимых ценах), % к предыдущему году</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99,2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99,5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96,4</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94,4</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95,2</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79,3</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94,0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100,7</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100,1</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100,8</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101,5</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оптимистический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102,1</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Индекс производства продукции сельского хозяйства в хозяйствах всех категорий (в сопоставимых ценах), % к предыдущему году</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96,2</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102,9</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100,8</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101,4</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101,0</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101,3</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оптимистический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101,7</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101,4</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101,4</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Реальные располагаемые денежные доходы населения, %</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98,7</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88,8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101,5</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101,5</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93,2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99,5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102,4</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103,1</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103,2</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оптимистический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104,4</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104,1</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104,2</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Прирост численности населения, %</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-0,8</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0,40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0,40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0,40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0,30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0,30</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0,25</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0,42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0,43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0,46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0,50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0,50</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0,50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оптимистический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0,60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0,65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0,65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0,65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0,65</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0,70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инвестиций в основной капитал в валовом региональном продукте, %</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21,7</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16,3</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17,8</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24,8</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25,3</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28,8</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оптимистический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25,7</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30,1</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31,3</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Темп снижения энергоемкости валового регионального продукта, %</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 (оценка)</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-0,6</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-0,5</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-0,3</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оптимистический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Протяженность автомобильных дорог общего пользования с твердым покрытием, км</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7493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7503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7618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7667</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7519</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7519</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7113,0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7230,8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7267,5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7274,0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7321,3</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7351,6</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7113,0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7230,8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7267,5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7296,2</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7325,6</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7382,3</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оптимистический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7113,0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7230,8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7267,5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7324,0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7358,0</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7806,0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Число созданных и модернизированных высокопроизводительных рабочих мест, тыс. единиц</w:t>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124,1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122,3</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143,6</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146,5</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122,5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122,8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122,9</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131,1</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133,5</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137,0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122,5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125,8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133,0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140,0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149,0</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160,0</w:t>
            </w:r>
            <w:r/>
          </w:p>
        </w:tc>
      </w:tr>
      <w:tr>
        <w:trPr>
          <w:jc w:val="cente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оптимистический</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122,5</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125,8</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133,0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147,0</w:t>
            </w:r>
            <w:r/>
          </w:p>
        </w:tc>
        <w:tc>
          <w:tcPr>
            <w:tcBorders>
              <w:left w:val="single" w:color="000000" w:sz="4" w:space="0"/>
              <w:top w:val="single" w:color="000000" w:sz="4" w:space="0"/>
              <w:right w:val="single" w:color="000000" w:sz="4" w:space="0"/>
              <w:bottom w:val="single" w:color="000000" w:sz="4" w:space="0"/>
            </w:tcBorders>
            <w:tcW w:w="7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162,0</w:t>
            </w:r>
            <w:r/>
          </w:p>
        </w:tc>
        <w:tc>
          <w:tcPr>
            <w:tcBorders>
              <w:left w:val="single" w:color="000000" w:sz="4" w:space="0"/>
              <w:top w:val="single" w:color="000000" w:sz="4" w:space="0"/>
              <w:right w:val="single" w:color="000000" w:sz="4" w:space="0"/>
              <w:bottom w:val="single" w:color="000000" w:sz="4" w:space="0"/>
            </w:tcBorders>
            <w:tcW w:w="97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170,0</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 момента принятия</w:t>
      </w:r>
      <w:r>
        <w:rPr>
          <w:rFonts w:ascii="Arial" w:hAnsi="Arial" w:cs="Arial" w:eastAsia="Arial"/>
          <w:sz w:val="20"/>
          <w:szCs w:val="20"/>
          <w:lang w:val="ru-RU" w:bidi="ru-RU"/>
        </w:rPr>
        <w:t xml:space="preserve"> Стратегии-2015 существенно изменились социально-экономические условия, которые не были предусмотрены в действующих стратегических документах. С 2018 года реализуется система региональных проектов как часть федеральной политики по реализации национальных п</w:t>
      </w:r>
      <w:r>
        <w:rPr>
          <w:rFonts w:ascii="Arial" w:hAnsi="Arial" w:cs="Arial" w:eastAsia="Arial"/>
          <w:sz w:val="20"/>
          <w:szCs w:val="20"/>
          <w:lang w:val="ru-RU" w:bidi="ru-RU"/>
        </w:rPr>
        <w:t xml:space="preserve">роектов и национальных целей развития. С 2019 года введена система оценки органов исполнительной власти субъектов Российской Федерации. До 2020 года оценка проводилась по 14 показателям эффективности региональных органов исполнительной власти, с принятием </w:t>
      </w:r>
      <w:hyperlink r:id="rId34" w:tooltip="consultantplus://offline/ref=9ACAA89C6FF58C33776267CAD8136869748D9DFE2BEBB854C524F083A7349DB9F4BFD35783C73F15E4AF5B38355Cs4I" w:history="1">
        <w:r>
          <w:rPr>
            <w:rFonts w:ascii="Arial" w:hAnsi="Arial" w:cs="Arial" w:eastAsia="Arial"/>
            <w:color w:val="0000FF"/>
            <w:sz w:val="20"/>
            <w:szCs w:val="20"/>
            <w:lang w:val="ru-RU" w:bidi="ru-RU"/>
          </w:rPr>
          <w:t xml:space="preserve">Указа</w:t>
        </w:r>
      </w:hyperlink>
      <w:r>
        <w:rPr>
          <w:rFonts w:ascii="Arial" w:hAnsi="Arial" w:cs="Arial" w:eastAsia="Arial"/>
          <w:sz w:val="20"/>
          <w:szCs w:val="20"/>
          <w:lang w:val="ru-RU" w:bidi="ru-RU"/>
        </w:rPr>
        <w:t xml:space="preserve"> Президента Российской Федерации от 4 февраля 2021 N 68 "Об оценке эффективности </w:t>
      </w:r>
      <w:r>
        <w:rPr>
          <w:rFonts w:ascii="Arial" w:hAnsi="Arial" w:cs="Arial" w:eastAsia="Arial"/>
          <w:sz w:val="20"/>
          <w:szCs w:val="20"/>
          <w:lang w:val="ru-RU" w:bidi="ru-RU"/>
        </w:rPr>
        <w:t xml:space="preserve">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 оценка будет проводиться по 20 показателям.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реализует мероприятия всех национальных проектов, в том числе решая проблемы, накопленные на предыдущем этапе развития, обеспечивает вклад в достижение национальных целей развития Российской Ф</w:t>
      </w:r>
      <w:r>
        <w:rPr>
          <w:rFonts w:ascii="Arial" w:hAnsi="Arial" w:cs="Arial" w:eastAsia="Arial"/>
          <w:sz w:val="20"/>
          <w:szCs w:val="20"/>
          <w:lang w:val="ru-RU" w:bidi="ru-RU"/>
        </w:rPr>
        <w:t xml:space="preserve">едерации до 2030 года на уровне выше среднероссийского по многим показателям. В частности, по индексу обрабатывающих производств, доле продукции высокотехнологичных и наукоемких отраслей экономики в ВРП, доле затрат на НИОКР в ВРП, количеству выданных пате</w:t>
      </w:r>
      <w:r>
        <w:rPr>
          <w:rFonts w:ascii="Arial" w:hAnsi="Arial" w:cs="Arial" w:eastAsia="Arial"/>
          <w:sz w:val="20"/>
          <w:szCs w:val="20"/>
          <w:lang w:val="ru-RU" w:bidi="ru-RU"/>
        </w:rPr>
        <w:t xml:space="preserve">нтов на изобретения, уровню младенческой смертности, а также детей в возрасте 0 - 4 года и 0 - 17 лет, обеспеченности врачами, работающими в государственных и муниципальных медицинских организациях, количеству погибших в дорожно-транспортных происшествиях.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Отдельные инициативы Томской области обеспечивают вклад в реализацию глобальных целей устойчивого развития. Сюда относ</w:t>
      </w:r>
      <w:r>
        <w:rPr>
          <w:rFonts w:ascii="Arial" w:hAnsi="Arial" w:cs="Arial" w:eastAsia="Arial"/>
          <w:sz w:val="20"/>
          <w:szCs w:val="20"/>
          <w:lang w:val="ru-RU" w:bidi="ru-RU"/>
        </w:rPr>
        <w:t xml:space="preserve">ятся мероприятия в сфере здравоохранения, направленные на снижение показателей смертности, развитие первичной медико-санитарной помощи, детского здравоохранения; мероприятия в рамках социальной политики, ориентированные на поддержку социально незащищенных </w:t>
      </w:r>
      <w:r>
        <w:rPr>
          <w:rFonts w:ascii="Arial" w:hAnsi="Arial" w:cs="Arial" w:eastAsia="Arial"/>
          <w:sz w:val="20"/>
          <w:szCs w:val="20"/>
          <w:lang w:val="ru-RU" w:bidi="ru-RU"/>
        </w:rPr>
        <w:t xml:space="preserve">слоев населения (Томская область также входит в число пилотных регионов по реализации национальной цели в сфере снижения уровня бедности); мероприятия, направленные на повышение качества дошкольного, дополнительного, профессионального образования и другие.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успешной реализации региональных проектов, решения новых задач развития, определяемых национальными целями, снижения рисков недостижения клю</w:t>
      </w:r>
      <w:r>
        <w:rPr>
          <w:rFonts w:ascii="Arial" w:hAnsi="Arial" w:cs="Arial" w:eastAsia="Arial"/>
          <w:sz w:val="20"/>
          <w:szCs w:val="20"/>
          <w:lang w:val="ru-RU" w:bidi="ru-RU"/>
        </w:rPr>
        <w:t xml:space="preserve">чевых показателей эффективности органов региональной власти, а также реализации новых направлений и мероприятий Томской области необходимо пересмотреть и обновить стратегическую рамку развития до 2030 года, учесть причины недостижения показателей за предыд</w:t>
      </w:r>
      <w:r>
        <w:rPr>
          <w:rFonts w:ascii="Arial" w:hAnsi="Arial" w:cs="Arial" w:eastAsia="Arial"/>
          <w:sz w:val="20"/>
          <w:szCs w:val="20"/>
          <w:lang w:val="ru-RU" w:bidi="ru-RU"/>
        </w:rPr>
        <w:t xml:space="preserve">ущий период. В рамках актуализированной Стратегии важно направить усилия на реализацию мероприятий, которые обеспечат экономический рост, повышение инвестиционной привлекательности региона, развитие высокопроизводительного экспортно ориентированного произв</w:t>
      </w:r>
      <w:r>
        <w:rPr>
          <w:rFonts w:ascii="Arial" w:hAnsi="Arial" w:cs="Arial" w:eastAsia="Arial"/>
          <w:sz w:val="20"/>
          <w:szCs w:val="20"/>
          <w:lang w:val="ru-RU" w:bidi="ru-RU"/>
        </w:rPr>
        <w:t xml:space="preserve">одства, рост предпринимательской инициативы, создание условий для достойного и эффективного труда, повышение качества жизни населения, обеспечение благоприятной городской среды и транспортной связности, ускоренной цифровизации экономики и социальной сферы.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Потребуется провести обновление системы регионального управления, обеспечить ее способность быстро реагировать на меняющуюся внешнюю среду и создавать условия для успешного восстановительного роста региона и его развития</w:t>
      </w:r>
      <w:r>
        <w:rPr>
          <w:rFonts w:ascii="Arial" w:hAnsi="Arial" w:cs="Arial" w:eastAsia="Arial"/>
          <w:sz w:val="20"/>
          <w:szCs w:val="20"/>
          <w:lang w:val="ru-RU" w:bidi="ru-RU"/>
        </w:rPr>
        <w:t xml:space="preserve"> в долгосрочном горизонте. Система должна быть сфокусирована на качественно новый результат. Требуется расширить инструменты, направленные на достижение целевых показателей, в т.ч. систему проектного управления в региональных органах исполнительной власти.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Плановое обновление Стратегии происходит в условиях радикальных изменений глобальной экономики и слабо прогнозируемых тенденций внешней с</w:t>
      </w:r>
      <w:r>
        <w:rPr>
          <w:rFonts w:ascii="Arial" w:hAnsi="Arial" w:cs="Arial" w:eastAsia="Arial"/>
          <w:sz w:val="20"/>
          <w:szCs w:val="20"/>
          <w:lang w:val="ru-RU" w:bidi="ru-RU"/>
        </w:rPr>
        <w:t xml:space="preserve">реды. Главный вопрос при актуализации Стратегии состоит в том, сможет ли Томская область использовать складывающуюся ситуацию изменений внешней среды для укрепления своей конкурентоспособности, осуществления необходимых структурных изменений, создания инду</w:t>
      </w:r>
      <w:r>
        <w:rPr>
          <w:rFonts w:ascii="Arial" w:hAnsi="Arial" w:cs="Arial" w:eastAsia="Arial"/>
          <w:sz w:val="20"/>
          <w:szCs w:val="20"/>
          <w:lang w:val="ru-RU" w:bidi="ru-RU"/>
        </w:rPr>
        <w:t xml:space="preserve">стриальной специализации "следующего поколения" (предполагающей комплексную модернизацию базового сектора, опору на новые высокотехнологичные кластеры и непроизводственные индустрии), или регион закрепится на стабильной, но инерционной траектории развития.</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3. ПОРТФЕЛЬ ДОСТУПНЫХ РЕСУРСОВ РАЗВИТИЯ ТОМСКОЙ ОБЛАСТИ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Для определения возможностей по ускорению структурных изменений необходимо оценить портфель ресурсов текущей модели экономики Томской области и потенциал их использования в процессах перехода к новой, интенсивной модели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Основу текущей модели экономики Томской области составляют стабильные или убывающие ресурсы развития, большинство из которых стабильно или снижается в зависимости от факторов вн</w:t>
      </w:r>
      <w:r>
        <w:rPr>
          <w:rFonts w:ascii="Arial" w:hAnsi="Arial" w:cs="Arial" w:eastAsia="Arial"/>
          <w:sz w:val="20"/>
          <w:szCs w:val="20"/>
          <w:lang w:val="ru-RU" w:bidi="ru-RU"/>
        </w:rPr>
        <w:t xml:space="preserve">ешней среды. По отношению к данным ресурсам необходим пакет стабилизирующих мер для предотвращения рисков системных сбоев - реализация стратегии управляемого сжатия с максимально рациональным распределением и эффективным использованием этого вида ресурсов.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 убывающим ресурсам региона на сегодняшний день можно отнести: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доступные запасы нефти и (в недалекой перспективе) газа, с которыми связано большое количество </w:t>
      </w:r>
      <w:r>
        <w:rPr>
          <w:rFonts w:ascii="Arial" w:hAnsi="Arial" w:cs="Arial" w:eastAsia="Arial"/>
          <w:sz w:val="20"/>
          <w:szCs w:val="20"/>
          <w:lang w:val="ru-RU" w:bidi="ru-RU"/>
        </w:rPr>
        <w:t xml:space="preserve">смежных показателей, определяющих уровень социально-экономического развития региона, таких как объем экспорта, объем инвестиций, бюджетные поступления, а также уровень развития смежных отраслей, в том числе специальных сервисов строительства и инжиниринга;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трудоспособное население, сокращающееся под воздействием общего демографического тренда старения, что также усугубляется миграционной убылью квалифицированной молодежи;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сложившаяся сист</w:t>
      </w:r>
      <w:r>
        <w:rPr>
          <w:rFonts w:ascii="Arial" w:hAnsi="Arial" w:cs="Arial" w:eastAsia="Arial"/>
          <w:sz w:val="20"/>
          <w:szCs w:val="20"/>
          <w:lang w:val="ru-RU" w:bidi="ru-RU"/>
        </w:rPr>
        <w:t xml:space="preserve">ема расселения с наблюдаемыми тенденциями и пессимистическими прогнозами постепенного исчезновения ("вымирания") малых населенных пунктов, в частности в связи с вторичной урбанизацией и переездом людей из малых городов в крупные региональные центры Сибири;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рентабельность традиционных отраслей, сокращающаяся за счет общего удорожания основных факторов производства;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объемы </w:t>
      </w:r>
      <w:r>
        <w:rPr>
          <w:rFonts w:ascii="Arial" w:hAnsi="Arial" w:cs="Arial" w:eastAsia="Arial"/>
          <w:sz w:val="20"/>
          <w:szCs w:val="20"/>
          <w:lang w:val="ru-RU" w:bidi="ru-RU"/>
        </w:rPr>
        <w:t xml:space="preserve">инвестиций в крупные проекты добычи природных ресурсов и, как следствие, снижение объема налоговых поступлений в консолидированный бюджет Томской области от нефтегазового сектора, падение инвестиций в ряд смежных секторов (строительство, нефтегазосервисы).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Стратегии с 2021 по 2030 годы должна предусматривать последовательное замещение убывающих ресурсов новыми, доступность которых растет.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Вторая группа ресурсов, </w:t>
      </w:r>
      <w:r>
        <w:rPr>
          <w:rFonts w:ascii="Arial" w:hAnsi="Arial" w:cs="Arial" w:eastAsia="Arial"/>
          <w:sz w:val="20"/>
          <w:szCs w:val="20"/>
          <w:lang w:val="ru-RU" w:bidi="ru-RU"/>
        </w:rPr>
        <w:t xml:space="preserve">определяющих модель Томской области сегодня, - "стабильный портфель" ресурсов, который при достаточно эффективном использовании способен стать базой для регионального экономического развития в следующем десятилетии, обеспечить устойчивость региона в целом.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Портфель стабильных ресурсов включает: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качественные, растущие по своей доступности и разнообразию услуги для населения: образование, здравоохранение, сектор социального обслуживания, культура;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относительно стабильный уровень экологического благополучия, качественная городская среда и доступное жилье;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высокий уровень развития технологического предпринимательства, в том числе стабильно развивающийся сектор информационных 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rPr>
          <w:rFonts w:ascii="Arial" w:hAnsi="Arial" w:cs="Arial" w:eastAsia="Arial"/>
          <w:sz w:val="20"/>
          <w:szCs w:val="20"/>
          <w:lang w:val="ru-RU" w:bidi="ru-RU"/>
        </w:rPr>
        <w:t xml:space="preserve"> качественный инженерный, научный и образовательный состав рынка труда: стабильное число ведущих научных групп, инженерных сообществ, преподавателей, студентов, а также связанные с развитием университетской среды городские услуги, в том числе для молодежи;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благоприятные условия и льготы для малого бизнеса;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стабильные компоненты инфраструктуры: дорожная сеть и транспорт, энергетика, ЖКХ, связь.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Стратегии с 2021 по 2030 годы должна предусматривать устойчивый рост "стабильного" портфеля ресурсов.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третью группу</w:t>
      </w:r>
      <w:r>
        <w:rPr>
          <w:rFonts w:ascii="Arial" w:hAnsi="Arial" w:cs="Arial" w:eastAsia="Arial"/>
          <w:sz w:val="20"/>
          <w:szCs w:val="20"/>
          <w:lang w:val="ru-RU" w:bidi="ru-RU"/>
        </w:rPr>
        <w:t xml:space="preserve"> ресурсов регионального развития можно отнести ресурсы не только доступные, но и растущие в объеме. Именно использование этих ресурсов как уникальной базы регионального развития необходимо для наращивания конкурентоспособности Томской области до 2030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 таким ресурсам относятся: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появление в структуре экономики отраслей с высокими темпами роста "экономических драйверов" - высокотехнологичных секторов. К ним относятся электрон</w:t>
      </w:r>
      <w:r>
        <w:rPr>
          <w:rFonts w:ascii="Arial" w:hAnsi="Arial" w:cs="Arial" w:eastAsia="Arial"/>
          <w:sz w:val="20"/>
          <w:szCs w:val="20"/>
          <w:lang w:val="ru-RU" w:bidi="ru-RU"/>
        </w:rPr>
        <w:t xml:space="preserve">ика и производство компьютеров, оптика, программное обеспечение (ПО), информационные технологии (ИТ), сети, услуги в сфере данных, производство продуктов на основе лесных ресурсов (биотехнологии), беспроводные технологии. Данные отрасли растут с темпом 15%</w:t>
      </w:r>
      <w:r>
        <w:rPr>
          <w:rFonts w:ascii="Arial" w:hAnsi="Arial" w:cs="Arial" w:eastAsia="Arial"/>
          <w:sz w:val="20"/>
          <w:szCs w:val="20"/>
          <w:lang w:val="ru-RU" w:bidi="ru-RU"/>
        </w:rPr>
        <w:t xml:space="preserve"> и более в год, несмотря на значительно более скромные темпы роста региональной экономики в целом. Потенциал этих секторов для экономики крайне высок, хотя их масштаб влияния на "ускорение" социально-экономического развития региона должен быть кратно выше;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растущая в долгосрочной перспективе благоприятная конъюнктура на ряде внешних рынков, св</w:t>
      </w:r>
      <w:r>
        <w:rPr>
          <w:rFonts w:ascii="Arial" w:hAnsi="Arial" w:cs="Arial" w:eastAsia="Arial"/>
          <w:sz w:val="20"/>
          <w:szCs w:val="20"/>
          <w:lang w:val="ru-RU" w:bidi="ru-RU"/>
        </w:rPr>
        <w:t xml:space="preserve">язанных с традиционной специализацией экономики региона, которая позволяет рассчитывать на рост экспортного потенциала в промышленных отраслях: производство древесины и продуктов из нее, производство пищевых продуктов и напитков, химическая промышленность;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растущие потребности новых рынков, с которыми </w:t>
      </w:r>
      <w:r>
        <w:rPr>
          <w:rFonts w:ascii="Arial" w:hAnsi="Arial" w:cs="Arial" w:eastAsia="Arial"/>
          <w:sz w:val="20"/>
          <w:szCs w:val="20"/>
          <w:lang w:val="ru-RU" w:bidi="ru-RU"/>
        </w:rPr>
        <w:t xml:space="preserve">связано укрепление позиции экспортера, в частности, рост и достаточно быстрое восстановление в условиях пандемии спроса на рынках Китая, Казахстана, Узбекистана, в частности, продукции лесопромышленного комплекса, химической промышленности, машиностроения;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растущий экспортный потенциал, в том числе репутационный, сектора высшего образования и науки, о котором в том числе свидетельствует укрепление позиций томских организаций высшего образования и научных организаций в международных рейтингах;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рост долгосрочной привлекательности внутреннего туристского рынка, как специализированного (абитуриентов, деловых туристов), так и массового, в том числе туризма выходного дня, семейных поездок по России.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Стратегии с 2021 по 2030 годы должна предусматривать максимальное использование потенциала "растущих" ресурсов.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Томск</w:t>
      </w:r>
      <w:r>
        <w:rPr>
          <w:rFonts w:ascii="Arial" w:hAnsi="Arial" w:cs="Arial" w:eastAsia="Arial"/>
          <w:sz w:val="20"/>
          <w:szCs w:val="20"/>
          <w:lang w:val="ru-RU" w:bidi="ru-RU"/>
        </w:rPr>
        <w:t xml:space="preserve">ой области имеется недоиспользованный потенциал - ресурсы, которые, с одной стороны, являются уникальными характеристиками региона, с другой - вовлекаются недостаточно активно и практически не подлежат экономической оценке. Данная группа ресурсов включает: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эффекты от концентрации знаний (экосистемные ресурсы), обеспечивающие способность региона решать сложные задачи и отвечать на новые инженерно-технологические вызовы;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компетенции образовательных организаций высшего образования и технологических компаний региона, достаточные для выхода на новые быст</w:t>
      </w:r>
      <w:r>
        <w:rPr>
          <w:rFonts w:ascii="Arial" w:hAnsi="Arial" w:cs="Arial" w:eastAsia="Arial"/>
          <w:sz w:val="20"/>
          <w:szCs w:val="20"/>
          <w:lang w:val="ru-RU" w:bidi="ru-RU"/>
        </w:rPr>
        <w:t xml:space="preserve">рорастущие рынки, имеющиеся технологические и исследовательские заделы, используемые в "рынках будущего", такие как искусственный интеллект, генная и биоинженерия, когнитивные технологии, новые социальные технологии, передовые космические технологии и пр.;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образованная квалифицированная молодежь, интеллектуальный и предпринимательский класс;</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возобновляемые природные ресурсы (включая продукты леса, сельскохозяйственные культуры, охотничьи ресурсы, уникальные заповедные территории и др.), напрямую вл</w:t>
      </w:r>
      <w:r>
        <w:rPr>
          <w:rFonts w:ascii="Arial" w:hAnsi="Arial" w:cs="Arial" w:eastAsia="Arial"/>
          <w:sz w:val="20"/>
          <w:szCs w:val="20"/>
          <w:lang w:val="ru-RU" w:bidi="ru-RU"/>
        </w:rPr>
        <w:t xml:space="preserve">ияющие на уровень экологичности, качество жизни и рост привлекательности региона для жителей разных возрастов, а также используемые в качестве сырья в обрабатывающей промышленности, в первую очередь в сфере сельского хозяйства и лесопромышленном комплексе.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стратегическом горизонте до 2030 года потребуется разработка адекватных инструментов и методов оценки ресурсов, поиск способов их капитализации.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Одно из главных назначений Стратегии состоит в обеспече</w:t>
      </w:r>
      <w:r>
        <w:rPr>
          <w:rFonts w:ascii="Arial" w:hAnsi="Arial" w:cs="Arial" w:eastAsia="Arial"/>
          <w:sz w:val="20"/>
          <w:szCs w:val="20"/>
          <w:lang w:val="ru-RU" w:bidi="ru-RU"/>
        </w:rPr>
        <w:t xml:space="preserve">нии на следующем этапе развития Томской области эффективного использования сложившихся и растущих ресурсов, которые могут быть вовлечены в реализацию нового портфеля перспективных (стратегических) проектов развития. Риск развития заключается в блокировке н</w:t>
      </w:r>
      <w:r>
        <w:rPr>
          <w:rFonts w:ascii="Arial" w:hAnsi="Arial" w:cs="Arial" w:eastAsia="Arial"/>
          <w:sz w:val="20"/>
          <w:szCs w:val="20"/>
          <w:lang w:val="ru-RU" w:bidi="ru-RU"/>
        </w:rPr>
        <w:t xml:space="preserve">овых возможностей в случае, если все управленческие и политические силы будут направлены на сохранение стабильности уже работающих (но медленно и со снижающейся отдачей) систем и структур без повышения их качества и вовлечения новых экономических ресурсов.</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4. АНАЛИЗ ДОЛГОСРОЧНОЙ КОНКУРЕНТОСПОСОБНОСТИ ТОМСКОЙ ОБЛАСТИ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"Большие вызовы" регионального развития до 2030 года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2020 году Томская об</w:t>
      </w:r>
      <w:r>
        <w:rPr>
          <w:rFonts w:ascii="Arial" w:hAnsi="Arial" w:cs="Arial" w:eastAsia="Arial"/>
          <w:sz w:val="20"/>
          <w:szCs w:val="20"/>
          <w:lang w:val="ru-RU" w:bidi="ru-RU"/>
        </w:rPr>
        <w:t xml:space="preserve">ласть столкнулась с двумя ключевыми внешними событиями, последствия которых окажут влияние на развитие региона до 2030 года. Сочетание этих событий и их вероятных системных последствий позволяют говорить о "новой экономической реальности" в 2021 - 2030 гг.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Первым ключевым событием является пандемия COVID-19, которая привела к системной м</w:t>
      </w:r>
      <w:r>
        <w:rPr>
          <w:rFonts w:ascii="Arial" w:hAnsi="Arial" w:cs="Arial" w:eastAsia="Arial"/>
          <w:sz w:val="20"/>
          <w:szCs w:val="20"/>
          <w:lang w:val="ru-RU" w:bidi="ru-RU"/>
        </w:rPr>
        <w:t xml:space="preserve">ировой рецессии, циклическому падению активности на товарных рынках, в особенности затронув рынки контактных услуг (туризм, развлечения, городские услуги, образование, здравоохранение). Обновление Стратегии региона происходит в период продолжающейся пандем</w:t>
      </w:r>
      <w:r>
        <w:rPr>
          <w:rFonts w:ascii="Arial" w:hAnsi="Arial" w:cs="Arial" w:eastAsia="Arial"/>
          <w:sz w:val="20"/>
          <w:szCs w:val="20"/>
          <w:lang w:val="ru-RU" w:bidi="ru-RU"/>
        </w:rPr>
        <w:t xml:space="preserve">ии, в условиях слабо прогнозируемых последствий для мировых рынков. Изменения будут носить радикальный характер и продлятся не менее 10 лет. В стратегическом горизонте региону предстоит развиваться в условиях высокого уровня неопределенности внешней среды.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Именно последствия периода глобальных изменений, скорость восстановления и реструктуризации основных цепочек производственной стоимости будут определять макроэкономические параметры развития Томской области в долгосрочной перспективе. В</w:t>
      </w:r>
      <w:r>
        <w:rPr>
          <w:rFonts w:ascii="Arial" w:hAnsi="Arial" w:cs="Arial" w:eastAsia="Arial"/>
          <w:sz w:val="20"/>
          <w:szCs w:val="20"/>
          <w:lang w:val="ru-RU" w:bidi="ru-RU"/>
        </w:rPr>
        <w:t xml:space="preserve"> то же время пандемия создала не только ограничения, но и новые возможности для развития региона, в частности - возможность интегрироваться с "новым предложением" в меняющиеся рынки, открывшиеся вследствие перестройки глобальных цепочек создания стоимости.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Вторым ключевым событием стало резкое падение цен на углеводороды в 2020 году. Мировая отрасль нефтегазодобычи вошла в связи с этим в период высокой неопределенности, фактический кризис.</w:t>
      </w:r>
      <w:r>
        <w:rPr>
          <w:rFonts w:ascii="Arial" w:hAnsi="Arial" w:cs="Arial" w:eastAsia="Arial"/>
          <w:sz w:val="20"/>
          <w:szCs w:val="20"/>
          <w:lang w:val="ru-RU" w:bidi="ru-RU"/>
        </w:rPr>
        <w:t xml:space="preserve"> Наиболее нестабильная фаза данного кризиса, по экспертным оценкам, продлится минимум 2 - 3 года. В переходный период, на фоне резких скачков и падений цен, прогнозируется сворачивание инвестиций в крупные инфраструктурные проекты, сокращение нефтегазовых </w:t>
      </w:r>
      <w:r>
        <w:rPr>
          <w:rFonts w:ascii="Arial" w:hAnsi="Arial" w:cs="Arial" w:eastAsia="Arial"/>
          <w:sz w:val="20"/>
          <w:szCs w:val="20"/>
          <w:lang w:val="ru-RU" w:bidi="ru-RU"/>
        </w:rPr>
        <w:t xml:space="preserve">доходов регионов-экспортеров, нестабильность бюджетных поступлений. После турбулентной фазы стоит ожидать существенной и достаточно продолжительной, не менее 10 лет, комплексной перестройки всего мирового ТЭК: наращивания темпов перехода к чистой, безуглер</w:t>
      </w:r>
      <w:r>
        <w:rPr>
          <w:rFonts w:ascii="Arial" w:hAnsi="Arial" w:cs="Arial" w:eastAsia="Arial"/>
          <w:sz w:val="20"/>
          <w:szCs w:val="20"/>
          <w:lang w:val="ru-RU" w:bidi="ru-RU"/>
        </w:rPr>
        <w:t xml:space="preserve">одной энергетике, формирования нового ядра глобальных энергетических компаний. Ведущие мировые регионы и компании уже запустили процессы ускоренной диверсификации - ухода от нефтегазовой специализации в сторону специализации на новых энергетических рынках.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2020 году Томская область продемонстрировала устойчивость основных систем управления и инфраструктуры в ответ на эти два события, социальные и бюджетные обязательства региона исполняются в срок.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 же время сложившаяся на внешних рынках ситуация актуализировала ряд системных вызовов регионального развития, требующих корректировки стратегических и программных документов.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Обеспечение долгос</w:t>
      </w:r>
      <w:r>
        <w:rPr>
          <w:rFonts w:ascii="Arial" w:hAnsi="Arial" w:cs="Arial" w:eastAsia="Arial"/>
          <w:sz w:val="20"/>
          <w:szCs w:val="20"/>
          <w:lang w:val="ru-RU" w:bidi="ru-RU"/>
        </w:rPr>
        <w:t xml:space="preserve">рочной макроэкономической стабильности основных параметров экономики Томской области в контексте глобальной рецессии и ухудшения параметров внешней среды. К ключевым факторам, определяющим параметры внешней среды, относятся: (1) угроза повторных усилений о</w:t>
      </w:r>
      <w:r>
        <w:rPr>
          <w:rFonts w:ascii="Arial" w:hAnsi="Arial" w:cs="Arial" w:eastAsia="Arial"/>
          <w:sz w:val="20"/>
          <w:szCs w:val="20"/>
          <w:lang w:val="ru-RU" w:bidi="ru-RU"/>
        </w:rPr>
        <w:t xml:space="preserve">граничений в связи с ростом масштаба пандемии; (2) изменение потребительского поведения, падение спроса; (3) усиление протекционистских мер, регуляторные риски. Макроэкономические параметры, определяющие остроту вызова устойчивости для Томской области, опи</w:t>
      </w:r>
      <w:r>
        <w:rPr>
          <w:rFonts w:ascii="Arial" w:hAnsi="Arial" w:cs="Arial" w:eastAsia="Arial"/>
          <w:sz w:val="20"/>
          <w:szCs w:val="20"/>
          <w:lang w:val="ru-RU" w:bidi="ru-RU"/>
        </w:rPr>
        <w:t xml:space="preserve">саны в рамках трех основных сценариев (таблица 2). Какой бы сценарий ни был запущен, стратегической задачей региона в этих условиях становится обеспечение стабильности базовых отраслей, сохранение стабильности социальной структуры и бюджетной устойчивости.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2 - Сценарные рамки макроэкономических</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параметров &lt;10&gt;</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&lt;10&gt; Составлено на основе прогнозов Минэкономразвития России (</w:t>
      </w:r>
      <w:hyperlink r:id="rId35" w:tooltip="consultantplus://offline/ref=9ACAA89C6FF58C33776267CAD8136869748C9BF027ECB854C524F083A7349DB9F4BFD35783C73F15E4AF5B38355Cs4I" w:history="1">
        <w:r>
          <w:rPr>
            <w:rFonts w:ascii="Arial" w:hAnsi="Arial" w:cs="Arial" w:eastAsia="Arial"/>
            <w:color w:val="0000FF"/>
            <w:sz w:val="20"/>
            <w:szCs w:val="20"/>
            <w:lang w:val="ru-RU" w:bidi="ru-RU"/>
          </w:rPr>
          <w:t xml:space="preserve">Прогноз</w:t>
        </w:r>
      </w:hyperlink>
      <w:r>
        <w:rPr>
          <w:rFonts w:ascii="Arial" w:hAnsi="Arial" w:cs="Arial" w:eastAsia="Arial"/>
          <w:sz w:val="20"/>
          <w:szCs w:val="20"/>
          <w:lang w:val="ru-RU" w:bidi="ru-RU"/>
        </w:rPr>
        <w:t xml:space="preserve"> социально-экономического развития Российской Федерации на 2021 год и на плановый период 2022 и 2023 годов, </w:t>
      </w:r>
      <w:hyperlink r:id="rId36" w:tooltip="consultantplus://offline/ref=9ACAA89C6FF58C33776267CAD8136869748B9AF625EAB854C524F083A7349DB9F4BFD35783C73F15E4AF5B38355Cs4I" w:history="1">
        <w:r>
          <w:rPr>
            <w:rFonts w:ascii="Arial" w:hAnsi="Arial" w:cs="Arial" w:eastAsia="Arial"/>
            <w:color w:val="0000FF"/>
            <w:sz w:val="20"/>
            <w:szCs w:val="20"/>
            <w:lang w:val="ru-RU" w:bidi="ru-RU"/>
          </w:rPr>
          <w:t xml:space="preserve">Прогноз</w:t>
        </w:r>
      </w:hyperlink>
      <w:r>
        <w:rPr>
          <w:rFonts w:ascii="Arial" w:hAnsi="Arial" w:cs="Arial" w:eastAsia="Arial"/>
          <w:sz w:val="20"/>
          <w:szCs w:val="20"/>
          <w:lang w:val="ru-RU" w:bidi="ru-RU"/>
        </w:rPr>
        <w:t xml:space="preserve"> социально-экономического развития Российской Федерации на период до 2036 года), Банка России, ЦМАКП, оценок международных экспертов (ОЭСР, МВФ и др.) по состоянию на сентябрь 2020 г.</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jc w:val="center"/>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3175"/>
        <w:gridCol w:w="3005"/>
        <w:gridCol w:w="2778"/>
      </w:tblGrid>
      <w:tr>
        <w:trPr>
          <w:jc w:val="center"/>
        </w:trPr>
        <w:tc>
          <w:tcPr>
            <w:tcBorders>
              <w:left w:val="single" w:color="000000" w:sz="4" w:space="0"/>
              <w:top w:val="single" w:color="000000" w:sz="4" w:space="0"/>
              <w:right w:val="single" w:color="000000" w:sz="4" w:space="0"/>
              <w:bottom w:val="single" w:color="000000" w:sz="4" w:space="0"/>
            </w:tcBorders>
            <w:tcW w:w="317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 вариант</w:t>
            </w:r>
            <w:r/>
          </w:p>
        </w:tc>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 вариант</w:t>
            </w:r>
            <w:r/>
          </w:p>
        </w:tc>
        <w:tc>
          <w:tcPr>
            <w:tcBorders>
              <w:left w:val="single" w:color="000000" w:sz="4" w:space="0"/>
              <w:top w:val="single" w:color="000000" w:sz="4" w:space="0"/>
              <w:right w:val="single" w:color="000000" w:sz="4" w:space="0"/>
              <w:bottom w:val="single" w:color="000000" w:sz="4" w:space="0"/>
            </w:tcBorders>
            <w:tcW w:w="2778"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Целевой вариант</w:t>
            </w:r>
            <w:r/>
          </w:p>
        </w:tc>
      </w:tr>
      <w:tr>
        <w:trPr>
          <w:jc w:val="center"/>
        </w:trPr>
        <w:tc>
          <w:tcPr>
            <w:tcBorders>
              <w:left w:val="single" w:color="000000" w:sz="4" w:space="0"/>
              <w:top w:val="single" w:color="000000" w:sz="4" w:space="0"/>
              <w:right w:val="single" w:color="000000" w:sz="4" w:space="0"/>
              <w:bottom w:val="single" w:color="000000" w:sz="4" w:space="0"/>
            </w:tcBorders>
            <w:tcW w:w="3175"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L-образный сценарий восстановления мировой экономики - продолжительная рецессия; (2) вторая волна кризиса на мировых финансовых рынках: отток капиталов с развивающихся рынков, проблемы у ведущих банко</w:t>
            </w:r>
            <w:r>
              <w:rPr>
                <w:rFonts w:ascii="Arial" w:hAnsi="Arial" w:cs="Arial" w:eastAsia="Arial"/>
                <w:sz w:val="20"/>
                <w:szCs w:val="20"/>
                <w:lang w:val="ru-RU" w:bidi="ru-RU"/>
              </w:rPr>
              <w:t xml:space="preserve">в, проблемы в странах PIGS &lt;11&gt;, валютные кризисы в нефтедобывающих странах; (3) валютный курс: 2021 год - 73,8 руб./долл. США; 2024 год - 86,1 руб./долл. США; 2030 год - 96 руб./долл. США; (4) темы роста ВВП РФ: 2020 год - 92,6%; 2021 - 2024 год (в средне</w:t>
            </w:r>
            <w:r>
              <w:rPr>
                <w:rFonts w:ascii="Arial" w:hAnsi="Arial" w:cs="Arial" w:eastAsia="Arial"/>
                <w:sz w:val="20"/>
                <w:szCs w:val="20"/>
                <w:lang w:val="ru-RU" w:bidi="ru-RU"/>
              </w:rPr>
              <w:t xml:space="preserve">м) - 101,8%; 2025 - 2030 год (в среднем) - 100,7%; (5) системные проблемы банковской отрасли сильно сказываются на кредитовании реального сектора российской экономики; (6) повышение ключевой ставки Банка России как реакция на дестабилизацию валютного рынка</w:t>
            </w:r>
            <w:r/>
          </w:p>
        </w:tc>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W-образный сценарий - повторение кризиса и ограничительных мер с последующим восстановлением экономической активности;</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 восстановление мировой финансовой системы: проблемы отдельных стран и регионов активно купируются денежными регуляторами;</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 валютный курс: 2021 год - 71,8 руб./долл. США; 2024 год - 74,1 руб./долл. США; 2030 год - 81,1 руб./долл. США;</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 темы роста ВВП РФ: 2020 год - 95,8%; 2021 - 2024 год (в среднем) - 102,5%; 2025 - 2030 год (в среднем) - 101,8%;</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 стабильное состояние банковского сектора - проблемы отдельных банков купируются Банком России;</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 удерживание ключевой ставки Банка России на уровне 4,25%</w:t>
            </w:r>
            <w:r/>
          </w:p>
        </w:tc>
        <w:tc>
          <w:tcPr>
            <w:tcBorders>
              <w:left w:val="single" w:color="000000" w:sz="4" w:space="0"/>
              <w:top w:val="single" w:color="000000" w:sz="4" w:space="0"/>
              <w:right w:val="single" w:color="000000" w:sz="4" w:space="0"/>
              <w:bottom w:val="single" w:color="000000" w:sz="4" w:space="0"/>
            </w:tcBorders>
            <w:tcW w:w="2778"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U-образный сценарий - постепенное восстановление экономики до докризисного уровня;</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 стабилизация финансовых рынков</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 валютный курс: 2021 год - 69,8 руб./долл. США; 2024 год - 70,6 руб./долл. США; 2030 год - 71,7 руб./долл. США;</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 темы роста ВВП РФ: 2020 год - 97,6%; 2021 - 2024 год (в среднем) - 103,8%; 2025 - 2030 год (в среднем) - 103%;</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 стабильное состояние банковского сектора - проблемы отдельных банков купируются Банком России;</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 снижение ставки до 4% и ниже со значительными кредитными вливаниями</w:t>
            </w:r>
            <w:r/>
          </w:p>
        </w:tc>
      </w:tr>
      <w:tr>
        <w:trPr>
          <w:jc w:val="center"/>
        </w:trPr>
        <w:tc>
          <w:tcPr>
            <w:gridSpan w:val="3"/>
            <w:tcBorders>
              <w:left w:val="single" w:color="000000" w:sz="4" w:space="0"/>
              <w:top w:val="single" w:color="000000" w:sz="4" w:space="0"/>
              <w:right w:val="single" w:color="000000" w:sz="4" w:space="0"/>
              <w:bottom w:val="single" w:color="000000" w:sz="4" w:space="0"/>
            </w:tcBorders>
            <w:tcW w:w="8958"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Вероятные последствия для региона</w:t>
            </w:r>
            <w:r/>
          </w:p>
        </w:tc>
      </w:tr>
      <w:tr>
        <w:trPr>
          <w:jc w:val="center"/>
        </w:trPr>
        <w:tc>
          <w:tcPr>
            <w:tcBorders>
              <w:left w:val="single" w:color="000000" w:sz="4" w:space="0"/>
              <w:top w:val="single" w:color="000000" w:sz="4" w:space="0"/>
              <w:right w:val="single" w:color="000000" w:sz="4" w:space="0"/>
              <w:bottom w:val="single" w:color="000000" w:sz="4" w:space="0"/>
            </w:tcBorders>
            <w:tcW w:w="317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 вариант</w:t>
            </w:r>
            <w:r/>
          </w:p>
        </w:tc>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 вариант</w:t>
            </w:r>
            <w:r/>
          </w:p>
        </w:tc>
        <w:tc>
          <w:tcPr>
            <w:tcBorders>
              <w:left w:val="single" w:color="000000" w:sz="4" w:space="0"/>
              <w:top w:val="single" w:color="000000" w:sz="4" w:space="0"/>
              <w:right w:val="single" w:color="000000" w:sz="4" w:space="0"/>
              <w:bottom w:val="single" w:color="000000" w:sz="4" w:space="0"/>
            </w:tcBorders>
            <w:tcW w:w="2778"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Целевой вариант</w:t>
            </w:r>
            <w:r/>
          </w:p>
        </w:tc>
      </w:tr>
      <w:tr>
        <w:trPr>
          <w:jc w:val="center"/>
        </w:trPr>
        <w:tc>
          <w:tcPr>
            <w:tcBorders>
              <w:left w:val="single" w:color="000000" w:sz="4" w:space="0"/>
              <w:top w:val="single" w:color="000000" w:sz="4" w:space="0"/>
              <w:right w:val="single" w:color="000000" w:sz="4" w:space="0"/>
              <w:bottom w:val="single" w:color="000000" w:sz="4" w:space="0"/>
            </w:tcBorders>
            <w:tcW w:w="3175"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продолжающийся экономический спад, уменьшение бюджетных поступлений;</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 сокращение финансирования/приостановка большинства проектов с участием крупных федеральных компаний; (3) кризис базовых отраслей при отсутствии возможностей для запуска новых проектов</w:t>
            </w:r>
            <w:r/>
          </w:p>
        </w:tc>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восстановление экономической активности региона, постепенное восстановление объемов бюджетных поступлений; (2) плановая реализация запущенных проектов и программ</w:t>
            </w:r>
            <w:r/>
          </w:p>
        </w:tc>
        <w:tc>
          <w:tcPr>
            <w:tcBorders>
              <w:left w:val="single" w:color="000000" w:sz="4" w:space="0"/>
              <w:top w:val="single" w:color="000000" w:sz="4" w:space="0"/>
              <w:right w:val="single" w:color="000000" w:sz="4" w:space="0"/>
              <w:bottom w:val="single" w:color="000000" w:sz="4" w:space="0"/>
            </w:tcBorders>
            <w:tcW w:w="2778"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быстрое восстановление экономики региона до докризисного уровня, в т.ч. бюджетных поступлений;</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 запуск новых проектов и программ развития</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&lt;11&gt; Португалия, Италия, Греция, Испания</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 Вызов устойчивости нефтегазов</w:t>
      </w:r>
      <w:r>
        <w:rPr>
          <w:rFonts w:ascii="Arial" w:hAnsi="Arial" w:cs="Arial" w:eastAsia="Arial"/>
          <w:sz w:val="20"/>
          <w:szCs w:val="20"/>
          <w:lang w:val="ru-RU" w:bidi="ru-RU"/>
        </w:rPr>
        <w:t xml:space="preserve">ого сектора как базы экономики Томской области &lt;12&gt; в контексте долгосрочного мирового энергетического перехода. Необходимость обеспечить динамику модернизации регионального ТЭК в соответствии с динамикой внешней среды. Мировой энергетический кризис, паден</w:t>
      </w:r>
      <w:r>
        <w:rPr>
          <w:rFonts w:ascii="Arial" w:hAnsi="Arial" w:cs="Arial" w:eastAsia="Arial"/>
          <w:sz w:val="20"/>
          <w:szCs w:val="20"/>
          <w:lang w:val="ru-RU" w:bidi="ru-RU"/>
        </w:rPr>
        <w:t xml:space="preserve">ие цен на нефть, ускорение процессов комплексной перестройки сектора, переход к глобальной модели высокотехнологичной умной инфраструктуры, построенной на комбинации различных ресурсов и применении цифровых технологий, актуализация повестки в сфере климата</w:t>
      </w:r>
      <w:r>
        <w:rPr>
          <w:rFonts w:ascii="Arial" w:hAnsi="Arial" w:cs="Arial" w:eastAsia="Arial"/>
          <w:sz w:val="20"/>
          <w:szCs w:val="20"/>
          <w:lang w:val="ru-RU" w:bidi="ru-RU"/>
        </w:rPr>
        <w:t xml:space="preserve">, ускоренный переход к полностью безуглеродной энергетике предполагают необходимость трансформации энергетического сектора Томской области. В стратегическом горизонте для сектора мировой нефтегазодобычи можно опираться на три основных сценария (таблица 3).</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&lt;12&gt; Сектор определяет основные макроэкономические параметры области, обеспечивая более 30% ВРП, более 40% инвестиций и около 20% бюджетных поступлений.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3 - Сценарные рамки мирового сектора</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нефтегазодобычи &lt;13&gt;</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&lt;13&gt; Составлено на основе прогнозов Минэкономразвития России (</w:t>
      </w:r>
      <w:hyperlink r:id="rId37" w:tooltip="consultantplus://offline/ref=9ACAA89C6FF58C33776267CAD8136869748C9BF027ECB854C524F083A7349DB9F4BFD35783C73F15E4AF5B38355Cs4I" w:history="1">
        <w:r>
          <w:rPr>
            <w:rFonts w:ascii="Arial" w:hAnsi="Arial" w:cs="Arial" w:eastAsia="Arial"/>
            <w:color w:val="0000FF"/>
            <w:sz w:val="20"/>
            <w:szCs w:val="20"/>
            <w:lang w:val="ru-RU" w:bidi="ru-RU"/>
          </w:rPr>
          <w:t xml:space="preserve">Прогноз</w:t>
        </w:r>
      </w:hyperlink>
      <w:r>
        <w:rPr>
          <w:rFonts w:ascii="Arial" w:hAnsi="Arial" w:cs="Arial" w:eastAsia="Arial"/>
          <w:sz w:val="20"/>
          <w:szCs w:val="20"/>
          <w:lang w:val="ru-RU" w:bidi="ru-RU"/>
        </w:rPr>
        <w:t xml:space="preserve"> социально-экономического развития Российской Федерации на 2021 год и на плановый период 2022 и 2023 годов, </w:t>
      </w:r>
      <w:hyperlink r:id="rId38" w:tooltip="consultantplus://offline/ref=9ACAA89C6FF58C33776267CAD8136869748B9AF625EAB854C524F083A7349DB9F4BFD35783C73F15E4AF5B38355Cs4I" w:history="1">
        <w:r>
          <w:rPr>
            <w:rFonts w:ascii="Arial" w:hAnsi="Arial" w:cs="Arial" w:eastAsia="Arial"/>
            <w:color w:val="0000FF"/>
            <w:sz w:val="20"/>
            <w:szCs w:val="20"/>
            <w:lang w:val="ru-RU" w:bidi="ru-RU"/>
          </w:rPr>
          <w:t xml:space="preserve">Прогноз</w:t>
        </w:r>
      </w:hyperlink>
      <w:r>
        <w:rPr>
          <w:rFonts w:ascii="Arial" w:hAnsi="Arial" w:cs="Arial" w:eastAsia="Arial"/>
          <w:sz w:val="20"/>
          <w:szCs w:val="20"/>
          <w:lang w:val="ru-RU" w:bidi="ru-RU"/>
        </w:rPr>
        <w:t xml:space="preserve"> социально-экономического развития Российской Федерации на период до 2036 года), Банка России, ЦМАКП, оценок международных экспертов (ОЭСР, МВФ и др.) по состоянию на сентябрь 2020 г.</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jc w:val="center"/>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2940"/>
        <w:gridCol w:w="2937"/>
        <w:gridCol w:w="3118"/>
      </w:tblGrid>
      <w:tr>
        <w:trPr>
          <w:jc w:val="center"/>
        </w:trPr>
        <w:tc>
          <w:tcPr>
            <w:tcBorders>
              <w:left w:val="single" w:color="000000" w:sz="4" w:space="0"/>
              <w:top w:val="single" w:color="000000" w:sz="4" w:space="0"/>
              <w:right w:val="single" w:color="000000" w:sz="4" w:space="0"/>
              <w:bottom w:val="single" w:color="000000" w:sz="4" w:space="0"/>
            </w:tcBorders>
            <w:tcW w:w="294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 вариант</w:t>
            </w:r>
            <w:r/>
          </w:p>
        </w:tc>
        <w:tc>
          <w:tcPr>
            <w:tcBorders>
              <w:left w:val="single" w:color="000000" w:sz="4" w:space="0"/>
              <w:top w:val="single" w:color="000000" w:sz="4" w:space="0"/>
              <w:right w:val="single" w:color="000000" w:sz="4" w:space="0"/>
              <w:bottom w:val="single" w:color="000000" w:sz="4" w:space="0"/>
            </w:tcBorders>
            <w:tcW w:w="293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 вариант</w:t>
            </w:r>
            <w:r/>
          </w:p>
        </w:tc>
        <w:tc>
          <w:tcPr>
            <w:tcBorders>
              <w:left w:val="single" w:color="000000" w:sz="4" w:space="0"/>
              <w:top w:val="single" w:color="000000" w:sz="4" w:space="0"/>
              <w:right w:val="single" w:color="000000" w:sz="4" w:space="0"/>
              <w:bottom w:val="single" w:color="000000" w:sz="4" w:space="0"/>
            </w:tcBorders>
            <w:tcW w:w="3118"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Целевой вариант</w:t>
            </w:r>
            <w:r/>
          </w:p>
        </w:tc>
      </w:tr>
      <w:tr>
        <w:trPr>
          <w:jc w:val="center"/>
        </w:trPr>
        <w:tc>
          <w:tcPr>
            <w:tcBorders>
              <w:left w:val="single" w:color="000000" w:sz="4" w:space="0"/>
              <w:top w:val="single" w:color="000000" w:sz="4" w:space="0"/>
              <w:right w:val="single" w:color="000000" w:sz="4" w:space="0"/>
              <w:bottom w:val="single" w:color="000000" w:sz="4" w:space="0"/>
            </w:tcBorders>
            <w:tcW w:w="2940"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добыча нефти восстанавливается медленнее, чем предусмотрено в апрельском соглашении ОПЕК+; (2) цены на нефть снижаются до 38 долл. США/баррель к началу 2021 года; достигают 40 долл. США/баррель к 2024 году; 42 долл. США/баррель - к 2030 году</w:t>
            </w:r>
            <w:r/>
          </w:p>
        </w:tc>
        <w:tc>
          <w:tcPr>
            <w:tcBorders>
              <w:left w:val="single" w:color="000000" w:sz="4" w:space="0"/>
              <w:top w:val="single" w:color="000000" w:sz="4" w:space="0"/>
              <w:right w:val="single" w:color="000000" w:sz="4" w:space="0"/>
              <w:bottom w:val="single" w:color="000000" w:sz="4" w:space="0"/>
            </w:tcBorders>
            <w:tcW w:w="2937"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действует апрельское (июньское) соглашение ОПЕК+; (2) цены на нефть около 43 долл. США/баррель к началу 2021 года; 49,5 долл. США/баррель - к 2024 году; 54,5 долл. США/баррель - к 2030 году</w:t>
            </w:r>
            <w:r/>
          </w:p>
        </w:tc>
        <w:tc>
          <w:tcPr>
            <w:tcBorders>
              <w:left w:val="single" w:color="000000" w:sz="4" w:space="0"/>
              <w:top w:val="single" w:color="000000" w:sz="4" w:space="0"/>
              <w:right w:val="single" w:color="000000" w:sz="4" w:space="0"/>
              <w:bottom w:val="single" w:color="000000" w:sz="4" w:space="0"/>
            </w:tcBorders>
            <w:tcW w:w="3118"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быстрое восстановление спроса и цены на нефть; (2) рост цен на нефть до уровня выше 48 долл. США/баррель к началу 2021 года; 53,4 долл. США/баррель - к 2024 году; 61,8 долл. США/баррель - к 2030 году</w:t>
            </w:r>
            <w:r/>
          </w:p>
        </w:tc>
      </w:tr>
      <w:tr>
        <w:trPr>
          <w:jc w:val="center"/>
        </w:trPr>
        <w:tc>
          <w:tcPr>
            <w:gridSpan w:val="3"/>
            <w:tcBorders>
              <w:left w:val="single" w:color="000000" w:sz="4" w:space="0"/>
              <w:top w:val="single" w:color="000000" w:sz="4" w:space="0"/>
              <w:right w:val="single" w:color="000000" w:sz="4" w:space="0"/>
              <w:bottom w:val="single" w:color="000000" w:sz="4" w:space="0"/>
            </w:tcBorders>
            <w:tcW w:w="899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Вероятные последствия для региона</w:t>
            </w:r>
            <w:r/>
          </w:p>
        </w:tc>
      </w:tr>
      <w:tr>
        <w:trPr>
          <w:jc w:val="center"/>
        </w:trPr>
        <w:tc>
          <w:tcPr>
            <w:tcBorders>
              <w:left w:val="single" w:color="000000" w:sz="4" w:space="0"/>
              <w:top w:val="single" w:color="000000" w:sz="4" w:space="0"/>
              <w:right w:val="single" w:color="000000" w:sz="4" w:space="0"/>
              <w:bottom w:val="single" w:color="000000" w:sz="4" w:space="0"/>
            </w:tcBorders>
            <w:tcW w:w="294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 вариант</w:t>
            </w:r>
            <w:r/>
          </w:p>
        </w:tc>
        <w:tc>
          <w:tcPr>
            <w:tcBorders>
              <w:left w:val="single" w:color="000000" w:sz="4" w:space="0"/>
              <w:top w:val="single" w:color="000000" w:sz="4" w:space="0"/>
              <w:right w:val="single" w:color="000000" w:sz="4" w:space="0"/>
              <w:bottom w:val="single" w:color="000000" w:sz="4" w:space="0"/>
            </w:tcBorders>
            <w:tcW w:w="293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 вариант</w:t>
            </w:r>
            <w:r/>
          </w:p>
        </w:tc>
        <w:tc>
          <w:tcPr>
            <w:tcBorders>
              <w:left w:val="single" w:color="000000" w:sz="4" w:space="0"/>
              <w:top w:val="single" w:color="000000" w:sz="4" w:space="0"/>
              <w:right w:val="single" w:color="000000" w:sz="4" w:space="0"/>
              <w:bottom w:val="single" w:color="000000" w:sz="4" w:space="0"/>
            </w:tcBorders>
            <w:tcW w:w="3118"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Целевой вариант</w:t>
            </w:r>
            <w:r/>
          </w:p>
        </w:tc>
      </w:tr>
      <w:tr>
        <w:trPr>
          <w:jc w:val="center"/>
        </w:trPr>
        <w:tc>
          <w:tcPr>
            <w:tcBorders>
              <w:left w:val="single" w:color="000000" w:sz="4" w:space="0"/>
              <w:top w:val="single" w:color="000000" w:sz="4" w:space="0"/>
              <w:right w:val="single" w:color="000000" w:sz="4" w:space="0"/>
              <w:bottom w:val="single" w:color="000000" w:sz="4" w:space="0"/>
            </w:tcBorders>
            <w:tcW w:w="2940"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Кризис базового сектора, отсутствие ресурсов для технологической трансформации ТЭК</w:t>
            </w:r>
            <w:r/>
          </w:p>
        </w:tc>
        <w:tc>
          <w:tcPr>
            <w:gridSpan w:val="2"/>
            <w:tcBorders>
              <w:left w:val="single" w:color="000000" w:sz="4" w:space="0"/>
              <w:top w:val="single" w:color="000000" w:sz="4" w:space="0"/>
              <w:right w:val="single" w:color="000000" w:sz="4" w:space="0"/>
              <w:bottom w:val="single" w:color="000000" w:sz="4" w:space="0"/>
            </w:tcBorders>
            <w:tcW w:w="6055"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Восстановление базового сектора</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долгосрочном горизонте будет запущен новый инвестиционный цикл на сырьевых рынках, в рамках которого проявятся новые территории ресурсного освоения, развиваемые на новой технологической базе (в Росс</w:t>
      </w:r>
      <w:r>
        <w:rPr>
          <w:rFonts w:ascii="Arial" w:hAnsi="Arial" w:cs="Arial" w:eastAsia="Arial"/>
          <w:sz w:val="20"/>
          <w:szCs w:val="20"/>
          <w:lang w:val="ru-RU" w:bidi="ru-RU"/>
        </w:rPr>
        <w:t xml:space="preserve">ии - Арктика, шельфовые территории Дальнего Востока). В Томской области, в структуре экономики которой ТЭК занимает почти треть ВРП и почти половину выпуска промышленной продукции, необходима ускоренная реструктуризация сектора за счет создания новой отрас</w:t>
      </w:r>
      <w:r>
        <w:rPr>
          <w:rFonts w:ascii="Arial" w:hAnsi="Arial" w:cs="Arial" w:eastAsia="Arial"/>
          <w:sz w:val="20"/>
          <w:szCs w:val="20"/>
          <w:lang w:val="ru-RU" w:bidi="ru-RU"/>
        </w:rPr>
        <w:t xml:space="preserve">левой платформы в соответствии с мировыми процессами и увеличения доли высокотехнологичных видов деятельности (нефтегазовые сервисы и инжиниринг, альтернативная энергетика, новые технологии добычи). Региону необходим переход на новую модель развития базово</w:t>
      </w:r>
      <w:r>
        <w:rPr>
          <w:rFonts w:ascii="Arial" w:hAnsi="Arial" w:cs="Arial" w:eastAsia="Arial"/>
          <w:sz w:val="20"/>
          <w:szCs w:val="20"/>
          <w:lang w:val="ru-RU" w:bidi="ru-RU"/>
        </w:rPr>
        <w:t xml:space="preserve">го сектора, ставка на капитализацию накопленных компетенций. Стабильная работа, модернизация, технологическая и ресурсная диверсификация сектора в условиях сжатия традиционной нефтегазовой ренты - это ключевой фактор сохранения объемов бюджетных поступлени</w:t>
      </w:r>
      <w:r>
        <w:rPr>
          <w:rFonts w:ascii="Arial" w:hAnsi="Arial" w:cs="Arial" w:eastAsia="Arial"/>
          <w:sz w:val="20"/>
          <w:szCs w:val="20"/>
          <w:lang w:val="ru-RU" w:bidi="ru-RU"/>
        </w:rPr>
        <w:t xml:space="preserve">й и рабочих мест &lt;14&gt;. Важной задачей для Томской области в этих условиях становится обеспечение макроэкономической и бюджетной устойчивости в долгосрочной перспективе, повышение эффективности расходов и принятие мер по стабилизации экономического баланса.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&lt;14&gt; Экспорт товаров Томской области снизился с 315,6 млн долл. С</w:t>
      </w:r>
      <w:r>
        <w:rPr>
          <w:rFonts w:ascii="Arial" w:hAnsi="Arial" w:cs="Arial" w:eastAsia="Arial"/>
          <w:sz w:val="20"/>
          <w:szCs w:val="20"/>
          <w:lang w:val="ru-RU" w:bidi="ru-RU"/>
        </w:rPr>
        <w:t xml:space="preserve">ША в 2019 г. до 310,1 млн долл. США в 2020 г. Ожидается, что крупнейшие компании региона существенно сократят свое присутствие и инвестиционные планы в условиях низкой конъюнктуры. Дальнейшее ухудшение ситуации с объемами добычи и экспорта создает риски ус</w:t>
      </w:r>
      <w:r>
        <w:rPr>
          <w:rFonts w:ascii="Arial" w:hAnsi="Arial" w:cs="Arial" w:eastAsia="Arial"/>
          <w:sz w:val="20"/>
          <w:szCs w:val="20"/>
          <w:lang w:val="ru-RU" w:bidi="ru-RU"/>
        </w:rPr>
        <w:t xml:space="preserve">тойчивости экономической, инвестиционной и бюджетной структуры региона. В 2020 г. область столкнулась с существенными ограничениями бюджетных возможностей, спадом налоговых поступлений, ухудшением ситуации в большинстве секторов экономики и на рынке труда.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 Вызов участия кластеров То</w:t>
      </w:r>
      <w:r>
        <w:rPr>
          <w:rFonts w:ascii="Arial" w:hAnsi="Arial" w:cs="Arial" w:eastAsia="Arial"/>
          <w:sz w:val="20"/>
          <w:szCs w:val="20"/>
          <w:lang w:val="ru-RU" w:bidi="ru-RU"/>
        </w:rPr>
        <w:t xml:space="preserve">мской области в новой международной системе разделения труда в контексте реструктуризации рынков и формирования новых цепочек создания стоимости. Регионализация и платформизация производственных цепочек, переход на новые принципы управления и безопасности </w:t>
      </w:r>
      <w:r>
        <w:rPr>
          <w:rFonts w:ascii="Arial" w:hAnsi="Arial" w:cs="Arial" w:eastAsia="Arial"/>
          <w:sz w:val="20"/>
          <w:szCs w:val="20"/>
          <w:lang w:val="ru-RU" w:bidi="ru-RU"/>
        </w:rPr>
        <w:t xml:space="preserve">требуют пересмотра основных параметров промышленной специализации территории. С учетом мировой пандемии и рецессии 2020 - 2022 годов намеченные ранее тенденции комплексной перестройки глобальных производственных цепочек, темпы промышленной революции и цифр</w:t>
      </w:r>
      <w:r>
        <w:rPr>
          <w:rFonts w:ascii="Arial" w:hAnsi="Arial" w:cs="Arial" w:eastAsia="Arial"/>
          <w:sz w:val="20"/>
          <w:szCs w:val="20"/>
          <w:lang w:val="ru-RU" w:bidi="ru-RU"/>
        </w:rPr>
        <w:t xml:space="preserve">овизация рынков существенно ускорились. Создались условия для появления новых отраслей и новых типов бизнес-моделей в горизонте 3 - 5 лет. Особое значение приобрели вопросы, связанные с обеспечением безопасности внедряемых технологических решений, а тренд </w:t>
      </w:r>
      <w:r>
        <w:rPr>
          <w:rFonts w:ascii="Arial" w:hAnsi="Arial" w:cs="Arial" w:eastAsia="Arial"/>
          <w:sz w:val="20"/>
          <w:szCs w:val="20"/>
          <w:lang w:val="ru-RU" w:bidi="ru-RU"/>
        </w:rPr>
        <w:t xml:space="preserve">глобализации сменяет регионализация и суверенизация - более компактное размещение производственных мощностей для повышения устойчивости всей производственной цепи, в том числе в пределах национальных границ. В любом из возможных сегодня сценариев восстанов</w:t>
      </w:r>
      <w:r>
        <w:rPr>
          <w:rFonts w:ascii="Arial" w:hAnsi="Arial" w:cs="Arial" w:eastAsia="Arial"/>
          <w:sz w:val="20"/>
          <w:szCs w:val="20"/>
          <w:lang w:val="ru-RU" w:bidi="ru-RU"/>
        </w:rPr>
        <w:t xml:space="preserve">ления &lt;15&gt; в период перестройки рынков будут наблюдаться как выбытие неэффективных производителей, так и формирование новых цепочек добавленной стоимости для новых рыночных ниш. Большинство системообразующих компаний и промышленно развитых регионов в насто</w:t>
      </w:r>
      <w:r>
        <w:rPr>
          <w:rFonts w:ascii="Arial" w:hAnsi="Arial" w:cs="Arial" w:eastAsia="Arial"/>
          <w:sz w:val="20"/>
          <w:szCs w:val="20"/>
          <w:lang w:val="ru-RU" w:bidi="ru-RU"/>
        </w:rPr>
        <w:t xml:space="preserve">ящий период пересматривают стратегии развития в этом направлении, реализуя как планы ускоренной внутренней цифровой трансформации, так и стратегии экспансии посредством участия в создании новых платформенных рынков. На уровне страны актуализированы процесс</w:t>
      </w:r>
      <w:r>
        <w:rPr>
          <w:rFonts w:ascii="Arial" w:hAnsi="Arial" w:cs="Arial" w:eastAsia="Arial"/>
          <w:sz w:val="20"/>
          <w:szCs w:val="20"/>
          <w:lang w:val="ru-RU" w:bidi="ru-RU"/>
        </w:rPr>
        <w:t xml:space="preserve">ы перехода на платформы суверенных технологий, независимых от иностранных поставщиков, кадров и компетенций &lt;16&gt;. Томская область может стать площадкой создания суверенных технологий, поставщиком наукоемких продуктов на новые и формирующиеся рынки, занять </w:t>
      </w:r>
      <w:r>
        <w:rPr>
          <w:rFonts w:ascii="Arial" w:hAnsi="Arial" w:cs="Arial" w:eastAsia="Arial"/>
          <w:sz w:val="20"/>
          <w:szCs w:val="20"/>
          <w:lang w:val="ru-RU" w:bidi="ru-RU"/>
        </w:rPr>
        <w:t xml:space="preserve">на них ведущее место, сформировать тем самым новую отраслевую специализацию. Если не воспользоваться открывшимся окном возможностей, связанных с реструктуризацией рынков, для региона есть риск закрепить специализацию в низкомаржинальных рыночных сегментах.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&lt;15&gt; Для восстановления стабильности цепочек может быть применен как консе</w:t>
      </w:r>
      <w:r>
        <w:rPr>
          <w:rFonts w:ascii="Arial" w:hAnsi="Arial" w:cs="Arial" w:eastAsia="Arial"/>
          <w:sz w:val="20"/>
          <w:szCs w:val="20"/>
          <w:lang w:val="ru-RU" w:bidi="ru-RU"/>
        </w:rPr>
        <w:t xml:space="preserve">рвативный (сжатие глобальных цепочек создания стоимости; паралич международных торговых организаций; регионализация торговли), так и целевой сценарии (ускоренное восстановление мировых товарных рынков, возобновление международной торговли в полном объеме).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&lt;16&gt; В условиях пандемии в связи с закрытием границ особенно остро проявилась зависимость от иностранных высококвалифицированных специалистов.</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 Вызов инвестиционной привлекательности Томской области в новом экономическом цикле (факторы для привлечения капитала в новые специализации экономики региона). Новая регионализация рынков при</w:t>
      </w:r>
      <w:r>
        <w:rPr>
          <w:rFonts w:ascii="Arial" w:hAnsi="Arial" w:cs="Arial" w:eastAsia="Arial"/>
          <w:sz w:val="20"/>
          <w:szCs w:val="20"/>
          <w:lang w:val="ru-RU" w:bidi="ru-RU"/>
        </w:rPr>
        <w:t xml:space="preserve">водит к смене ключевых параметров инвестиционной привлекательности территорий. Спрос смещается в сторону более технологичных и экологичных рынков и регионов, сертифицированных в соответствии с высокими стандартами качества, обеспеченных кадрами и инфрастру</w:t>
      </w:r>
      <w:r>
        <w:rPr>
          <w:rFonts w:ascii="Arial" w:hAnsi="Arial" w:cs="Arial" w:eastAsia="Arial"/>
          <w:sz w:val="20"/>
          <w:szCs w:val="20"/>
          <w:lang w:val="ru-RU" w:bidi="ru-RU"/>
        </w:rPr>
        <w:t xml:space="preserve">ктурой. Рынки приобретают цифровой платформенный характер. Всемирный локдаун ускорил цифровизацию рынков потребления. Товары и услуги, традиционно предоставляемые офлайн, ускоренно переходят в онлайн-форматы. В то же время на крупных рынках сжимается потре</w:t>
      </w:r>
      <w:r>
        <w:rPr>
          <w:rFonts w:ascii="Arial" w:hAnsi="Arial" w:cs="Arial" w:eastAsia="Arial"/>
          <w:sz w:val="20"/>
          <w:szCs w:val="20"/>
          <w:lang w:val="ru-RU" w:bidi="ru-RU"/>
        </w:rPr>
        <w:t xml:space="preserve">бление и сокращается число занятых прежде всего в секторе контактных, "городских" услуг (питание, туризм, развлечения, креативный бизнес, юридические услуги, консалтинг). Происходит становление отраслей на основе "глубоких технологий", которые обладают выс</w:t>
      </w:r>
      <w:r>
        <w:rPr>
          <w:rFonts w:ascii="Arial" w:hAnsi="Arial" w:cs="Arial" w:eastAsia="Arial"/>
          <w:sz w:val="20"/>
          <w:szCs w:val="20"/>
          <w:lang w:val="ru-RU" w:bidi="ru-RU"/>
        </w:rPr>
        <w:t xml:space="preserve">окими прогнозами роста, даже в условиях глобальной рецессии. Одним из ключевых параметров инвестиционной привлекательности регионов становится способность разместить "новые отрасли" на территории - то есть обладание критическими факторами для их развития. </w:t>
      </w:r>
      <w:r>
        <w:rPr>
          <w:rFonts w:ascii="Arial" w:hAnsi="Arial" w:cs="Arial" w:eastAsia="Arial"/>
          <w:sz w:val="20"/>
          <w:szCs w:val="20"/>
          <w:lang w:val="ru-RU" w:bidi="ru-RU"/>
        </w:rPr>
        <w:t xml:space="preserve">Ключевыми условиями для привлечения капитала становятся: доступность высококвалифицированных человеческих ресурсов, в том числе обладающих навыками цифровой и дистанционной работы, доступность инфраструктуры современной деловой мобильности (качественные аэ</w:t>
      </w:r>
      <w:r>
        <w:rPr>
          <w:rFonts w:ascii="Arial" w:hAnsi="Arial" w:cs="Arial" w:eastAsia="Arial"/>
          <w:sz w:val="20"/>
          <w:szCs w:val="20"/>
          <w:lang w:val="ru-RU" w:bidi="ru-RU"/>
        </w:rPr>
        <w:t xml:space="preserve">ропорты, высокоскоростные дороги, цифровая инфраструктура), производственная гибкость (система технологических бизнес-сервисов, в том числе "мягкие" сервисы - разработки, инженерные услуги, квалифицированное образование и пр.). В ответ на данный вызов реги</w:t>
      </w:r>
      <w:r>
        <w:rPr>
          <w:rFonts w:ascii="Arial" w:hAnsi="Arial" w:cs="Arial" w:eastAsia="Arial"/>
          <w:sz w:val="20"/>
          <w:szCs w:val="20"/>
          <w:lang w:val="ru-RU" w:bidi="ru-RU"/>
        </w:rPr>
        <w:t xml:space="preserve">он должен сформировать привлекательные условия для развития зрелых секторов экономики, новых и быстро растущих отраслей, а также нарастить привлекательность региона для высококвалифицированных кадров. В противном случае Томская область может не только не о</w:t>
      </w:r>
      <w:r>
        <w:rPr>
          <w:rFonts w:ascii="Arial" w:hAnsi="Arial" w:cs="Arial" w:eastAsia="Arial"/>
          <w:sz w:val="20"/>
          <w:szCs w:val="20"/>
          <w:lang w:val="ru-RU" w:bidi="ru-RU"/>
        </w:rPr>
        <w:t xml:space="preserve">брести новых производственных функций, но даже утратить существующие. Реализация сценария деиндустриализации будет означать потерю зрелых производственных компетенций без замещения их новыми производствами, формирование территории индустриальной стагнации.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Подробнее факторы инвестиционной привлекательности региона приведены ниже.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Факторы привлекательности для промышленного роста и реиндустриализации существующих отраслей (зрелых секторов экономики и промышленности):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Запасы природных ресурсов, в том числе возобновляемых.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Наличие активно развивающихся </w:t>
      </w:r>
      <w:r>
        <w:rPr>
          <w:rFonts w:ascii="Arial" w:hAnsi="Arial" w:cs="Arial" w:eastAsia="Arial"/>
          <w:sz w:val="20"/>
          <w:szCs w:val="20"/>
          <w:lang w:val="ru-RU" w:bidi="ru-RU"/>
        </w:rPr>
        <w:t xml:space="preserve">промышленных зон, индустриальных парков с готовой инфраструктурой для нового производства, возможность быстрого получения разрешений на строительство, регистрацию собственности и подключения к электросетям, доступная аренда и уровень коммунальных платежей.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участия в межрегиональных логистических коридорах и создании сети районных торгово-логистических центров в связке с другими логистическими узлами субъектов Российской Федерации.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Доступность и разнообразие налоговых преференций для инвесторов на территориях с особым режимом.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Доступность льготных банковских кредитов.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Наличие региональных мер поддержки инвестиционной деятельности, отраслевых мер поддержки, а также мер поддержки МСП.</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Доступ регионального бизнеса к услугам по сопровождению ведения экспортной деятельности.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Факторы привлекательности для новой экономики и новых промышленных секторов: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Полный цикл инвестиционной инфраструктуры и специализация созданных в регионе промышленного парка, ОЭЗ и ТОСЭР.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Активная региональная инновационная политика, наличие инфраструктуры для развития инновационной и предпринимательской деятельности (промышленные технопарки, инкубаторы и прочие институты по предоставлению услуг стартапам и высокотехнологичным компаниям).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новой промышленной географии как системы развития современной производственной и логистической инфраструктуры (создание специализированных промышленных зон, совмещенных с логистической инфраструктурой).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Территориальная близость к ведущим образовательным организациям высшего образования и научным организациям, симбиоз промышленного и научно-исследовательского комплексов.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Наличие подготовленных площадок для высокотехнологичных производств.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Доступность рабочих мест и гибкий рынок труда с возможностями для постоянного обновления квалификации.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Наличие на рынке труда специалистов в сфере ИТ, инжиниринга, исследователей.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Гибкая, качественная городская среда, развитая социальная инфраструктура, привлекательная для квалифицированных кадров.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Вызов а</w:t>
      </w:r>
      <w:r>
        <w:rPr>
          <w:rFonts w:ascii="Arial" w:hAnsi="Arial" w:cs="Arial" w:eastAsia="Arial"/>
          <w:sz w:val="20"/>
          <w:szCs w:val="20"/>
          <w:lang w:val="ru-RU" w:bidi="ru-RU"/>
        </w:rPr>
        <w:t xml:space="preserve">даптивности общественных систем к внешним шокам, в том числе способность обеспечить технологичность и безопасность по новым требованиям. Пандемия COVID-19 запустила масштабную перестройку социально значимых инфраструктур по всему миру. Системы здравоохране</w:t>
      </w:r>
      <w:r>
        <w:rPr>
          <w:rFonts w:ascii="Arial" w:hAnsi="Arial" w:cs="Arial" w:eastAsia="Arial"/>
          <w:sz w:val="20"/>
          <w:szCs w:val="20"/>
          <w:lang w:val="ru-RU" w:bidi="ru-RU"/>
        </w:rPr>
        <w:t xml:space="preserve">ния и образования переходят на индивидуальные, персонифицированные стандарты, в формат полностью цифрового обеспечения. Происходит ускоренное включение новых биотехнологий, когнитивных наук, интеллектуальных решений в реальную практику. В стратегическом го</w:t>
      </w:r>
      <w:r>
        <w:rPr>
          <w:rFonts w:ascii="Arial" w:hAnsi="Arial" w:cs="Arial" w:eastAsia="Arial"/>
          <w:sz w:val="20"/>
          <w:szCs w:val="20"/>
          <w:lang w:val="ru-RU" w:bidi="ru-RU"/>
        </w:rPr>
        <w:t xml:space="preserve">ризонте на реализацию стратегии Томской области будет влиять не только способность ключевых социальных инфраструктур, в частности, систем здравоохранения и образования, адаптироваться к меняющимся условиям и выдерживать резко и многократно возрастающие наг</w:t>
      </w:r>
      <w:r>
        <w:rPr>
          <w:rFonts w:ascii="Arial" w:hAnsi="Arial" w:cs="Arial" w:eastAsia="Arial"/>
          <w:sz w:val="20"/>
          <w:szCs w:val="20"/>
          <w:lang w:val="ru-RU" w:bidi="ru-RU"/>
        </w:rPr>
        <w:t xml:space="preserve">рузки и смену задач (к примеру, задача разворачивания гибридной системы образования, выхода в дистанционное обучение и возвращение в классы), но и способность к системной трансформации, переходу на новую технологическую базу. Стратегия региона обновляется </w:t>
      </w:r>
      <w:r>
        <w:rPr>
          <w:rFonts w:ascii="Arial" w:hAnsi="Arial" w:cs="Arial" w:eastAsia="Arial"/>
          <w:sz w:val="20"/>
          <w:szCs w:val="20"/>
          <w:lang w:val="ru-RU" w:bidi="ru-RU"/>
        </w:rPr>
        <w:t xml:space="preserve">в период, когда глобальная пандемия далека от завершения и когда стабильность основных систем жизнеобеспечения и критически важных инфраструктур во многом зависит от темпов сдерживания инфекции, доступности современной помощи, вводимых ограничительных мер.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Вне зависимости от скорости выхода из пандемии очевидно, что именно уровень качества, доступности и технологичность современных общественных услуг будет определять привлекательность региона д</w:t>
      </w:r>
      <w:r>
        <w:rPr>
          <w:rFonts w:ascii="Arial" w:hAnsi="Arial" w:cs="Arial" w:eastAsia="Arial"/>
          <w:sz w:val="20"/>
          <w:szCs w:val="20"/>
          <w:lang w:val="ru-RU" w:bidi="ru-RU"/>
        </w:rPr>
        <w:t xml:space="preserve">ля жизни в следующем десятилетии. Перед Томской областью в сложившихся условиях встают задачи по комплексной цифровой трансформации социальной инфраструктуры, инновационному технологическому переоснащению, отработке новых форматов организации деятельности.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6. Вызов привлекательности Томской области для жизни и работы, актуальность для образо</w:t>
      </w:r>
      <w:r>
        <w:rPr>
          <w:rFonts w:ascii="Arial" w:hAnsi="Arial" w:cs="Arial" w:eastAsia="Arial"/>
          <w:sz w:val="20"/>
          <w:szCs w:val="20"/>
          <w:lang w:val="ru-RU" w:bidi="ru-RU"/>
        </w:rPr>
        <w:t xml:space="preserve">ванного класса. Современная и качественная среда для жизни - ключевое условие привлекательности региона на следующем шаге развития, особенно в условиях растущей социальной и географической мобильности. Фиксируемые сегодня через социологические опросы пробл</w:t>
      </w:r>
      <w:r>
        <w:rPr>
          <w:rFonts w:ascii="Arial" w:hAnsi="Arial" w:cs="Arial" w:eastAsia="Arial"/>
          <w:sz w:val="20"/>
          <w:szCs w:val="20"/>
          <w:lang w:val="ru-RU" w:bidi="ru-RU"/>
        </w:rPr>
        <w:t xml:space="preserve">емы, связанные с постепенным расхождением между профессиональными интересами современной молодежи и возможностями региона, потерей привлекательности работы и жизни в населенных пунктах Томской области и, как следствие, миграционным оттоком молодежи, требую</w:t>
      </w:r>
      <w:r>
        <w:rPr>
          <w:rFonts w:ascii="Arial" w:hAnsi="Arial" w:cs="Arial" w:eastAsia="Arial"/>
          <w:sz w:val="20"/>
          <w:szCs w:val="20"/>
          <w:lang w:val="ru-RU" w:bidi="ru-RU"/>
        </w:rPr>
        <w:t xml:space="preserve">т решения. Ответить на вызов мобильности интеллектуального класса - значит привлечь в Томскую область, удержать и дать возможности для роста и самореализации новому поколению предпринимателей, инженеров, исследователей, представителей творческих профессий.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7. Вызов включенности Томской области в процессы трансформации федеральной повестки и системы управления. За последние годы на уровне Российской Федерации сформированы контуры новой системы управления социально</w:t>
      </w:r>
      <w:r>
        <w:rPr>
          <w:rFonts w:ascii="Arial" w:hAnsi="Arial" w:cs="Arial" w:eastAsia="Arial"/>
          <w:sz w:val="20"/>
          <w:szCs w:val="20"/>
          <w:lang w:val="ru-RU" w:bidi="ru-RU"/>
        </w:rPr>
        <w:t xml:space="preserve">-экономическим развитием (и распределения федеральных ресурсов). С 2019 г. в России реализуется этап национальной политики, связанный с постановкой системных целей и стратегических задач развития (указы Президента Российской Федерации от 21 июля 2020 года </w:t>
      </w:r>
      <w:hyperlink r:id="rId39" w:tooltip="consultantplus://offline/ref=9ACAA89C6FF58C33776267CAD8136869748F9FFE21E8B854C524F083A7349DB9F4BFD35783C73F15E4AF5B38355Cs4I" w:history="1">
        <w:r>
          <w:rPr>
            <w:rFonts w:ascii="Arial" w:hAnsi="Arial" w:cs="Arial" w:eastAsia="Arial"/>
            <w:color w:val="0000FF"/>
            <w:sz w:val="20"/>
            <w:szCs w:val="20"/>
            <w:lang w:val="ru-RU" w:bidi="ru-RU"/>
          </w:rPr>
          <w:t xml:space="preserve">N 474</w:t>
        </w:r>
      </w:hyperlink>
      <w:r>
        <w:rPr>
          <w:rFonts w:ascii="Arial" w:hAnsi="Arial" w:cs="Arial" w:eastAsia="Arial"/>
          <w:sz w:val="20"/>
          <w:szCs w:val="20"/>
          <w:lang w:val="ru-RU" w:bidi="ru-RU"/>
        </w:rPr>
        <w:t xml:space="preserve"> "О национальных целях развития Российской Федерации на период до 2030 года" и от 7 мая 2018 года </w:t>
      </w:r>
      <w:hyperlink r:id="rId40" w:tooltip="consultantplus://offline/ref=9ACAA89C6FF58C33776267CAD8136869748F90F721E9B854C524F083A7349DB9F4BFD35783C73F15E4AF5B38355Cs4I" w:history="1">
        <w:r>
          <w:rPr>
            <w:rFonts w:ascii="Arial" w:hAnsi="Arial" w:cs="Arial" w:eastAsia="Arial"/>
            <w:color w:val="0000FF"/>
            <w:sz w:val="20"/>
            <w:szCs w:val="20"/>
            <w:lang w:val="ru-RU" w:bidi="ru-RU"/>
          </w:rPr>
          <w:t xml:space="preserve">N 204</w:t>
        </w:r>
      </w:hyperlink>
      <w:r>
        <w:rPr>
          <w:rFonts w:ascii="Arial" w:hAnsi="Arial" w:cs="Arial" w:eastAsia="Arial"/>
          <w:sz w:val="20"/>
          <w:szCs w:val="20"/>
          <w:lang w:val="ru-RU" w:bidi="ru-RU"/>
        </w:rPr>
        <w:t xml:space="preserve"> "О национальных целях и стратегических задачах развития Российской Федерации на период до 2024 года", </w:t>
      </w:r>
      <w:hyperlink r:id="rId41" w:tooltip="consultantplus://offline/ref=9ACAA89C6FF58C33776267CAD8136869748298F325EFB854C524F083A7349DB9F4BFD35783C73F15E4AF5B38355Cs4I" w:history="1">
        <w:r>
          <w:rPr>
            <w:rFonts w:ascii="Arial" w:hAnsi="Arial" w:cs="Arial" w:eastAsia="Arial"/>
            <w:color w:val="0000FF"/>
            <w:sz w:val="20"/>
            <w:szCs w:val="20"/>
            <w:lang w:val="ru-RU" w:bidi="ru-RU"/>
          </w:rPr>
          <w:t xml:space="preserve">Распоряжение</w:t>
        </w:r>
      </w:hyperlink>
      <w:r>
        <w:rPr>
          <w:rFonts w:ascii="Arial" w:hAnsi="Arial" w:cs="Arial" w:eastAsia="Arial"/>
          <w:sz w:val="20"/>
          <w:szCs w:val="20"/>
          <w:lang w:val="ru-RU" w:bidi="ru-RU"/>
        </w:rPr>
        <w:t xml:space="preserve"> Правительства Российской от 13 февраля 2019 года N 207-р "Об утверждении Стратегии пространственного развития Российской Федерации на период до 2025 года"); внедрением системы управления по результатам деятельности (</w:t>
      </w:r>
      <w:hyperlink r:id="rId42" w:tooltip="consultantplus://offline/ref=9ACAA89C6FF58C33776267CAD8136869748D9DFE2BEBB854C524F083A7349DB9F4BFD35783C73F15E4AF5B38355Cs4I" w:history="1">
        <w:r>
          <w:rPr>
            <w:rFonts w:ascii="Arial" w:hAnsi="Arial" w:cs="Arial" w:eastAsia="Arial"/>
            <w:color w:val="0000FF"/>
            <w:sz w:val="20"/>
            <w:szCs w:val="20"/>
            <w:lang w:val="ru-RU" w:bidi="ru-RU"/>
          </w:rPr>
          <w:t xml:space="preserve">Указ</w:t>
        </w:r>
      </w:hyperlink>
      <w:r>
        <w:rPr>
          <w:rFonts w:ascii="Arial" w:hAnsi="Arial" w:cs="Arial" w:eastAsia="Arial"/>
          <w:sz w:val="20"/>
          <w:szCs w:val="20"/>
          <w:lang w:val="ru-RU" w:bidi="ru-RU"/>
        </w:rPr>
        <w:t xml:space="preserve"> Президента Рос</w:t>
      </w:r>
      <w:r>
        <w:rPr>
          <w:rFonts w:ascii="Arial" w:hAnsi="Arial" w:cs="Arial" w:eastAsia="Arial"/>
          <w:sz w:val="20"/>
          <w:szCs w:val="20"/>
          <w:lang w:val="ru-RU" w:bidi="ru-RU"/>
        </w:rPr>
        <w:t xml:space="preserve">сийской Федерации от 4 февраля 2021 года N 68 "Об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w:t>
      </w:r>
      <w:r>
        <w:rPr>
          <w:rFonts w:ascii="Arial" w:hAnsi="Arial" w:cs="Arial" w:eastAsia="Arial"/>
          <w:sz w:val="20"/>
          <w:szCs w:val="20"/>
          <w:lang w:val="ru-RU" w:bidi="ru-RU"/>
        </w:rPr>
        <w:t xml:space="preserve">ектов Российской Федерации") и реализацией комплекса национальных проектов. Перед Томской областью встают новые задачи развития, определяемые национальными целями, среди которых: сохранение населения, здоровье и благополучие людей; возможности для самореал</w:t>
      </w:r>
      <w:r>
        <w:rPr>
          <w:rFonts w:ascii="Arial" w:hAnsi="Arial" w:cs="Arial" w:eastAsia="Arial"/>
          <w:sz w:val="20"/>
          <w:szCs w:val="20"/>
          <w:lang w:val="ru-RU" w:bidi="ru-RU"/>
        </w:rPr>
        <w:t xml:space="preserve">изации и развития талантов; комфортная и безопасная среда для жизни; достойный, эффективный труд и успешное предпринимательство; цифровая трансформация. Успешность решения данных задач будет во многом зависеть от способности региона оперативно включиться в</w:t>
      </w:r>
      <w:r>
        <w:rPr>
          <w:rFonts w:ascii="Arial" w:hAnsi="Arial" w:cs="Arial" w:eastAsia="Arial"/>
          <w:sz w:val="20"/>
          <w:szCs w:val="20"/>
          <w:lang w:val="ru-RU" w:bidi="ru-RU"/>
        </w:rPr>
        <w:t xml:space="preserve"> актуальную федеральную повестку и использовать новые инструменты поддержки. При этом позиционирование Томской области среди других субъектов Российской Федерации происходит по определенному на федеральном уровне перечню ключевых показателей эффективности.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Возможности развития Томской области в контексте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"больших вызовов"</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Выделенные вызовы, с одной стороны, определяют угрозы социал</w:t>
      </w:r>
      <w:r>
        <w:rPr>
          <w:rFonts w:ascii="Arial" w:hAnsi="Arial" w:cs="Arial" w:eastAsia="Arial"/>
          <w:sz w:val="20"/>
          <w:szCs w:val="20"/>
          <w:lang w:val="ru-RU" w:bidi="ru-RU"/>
        </w:rPr>
        <w:t xml:space="preserve">ьно-экономического развития Томской области (в случае если не будет найден адекватный возникающим тенденциям ответ со стороны системы регионального управления), с другой стороны, позволяют сформировать новые возможности развития в долгосрочной перспективе.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Томская область может ст</w:t>
      </w:r>
      <w:r>
        <w:rPr>
          <w:rFonts w:ascii="Arial" w:hAnsi="Arial" w:cs="Arial" w:eastAsia="Arial"/>
          <w:sz w:val="20"/>
          <w:szCs w:val="20"/>
          <w:lang w:val="ru-RU" w:bidi="ru-RU"/>
        </w:rPr>
        <w:t xml:space="preserve">ать регионом структурной устойчивости, источником решений для формирования новой технологической базы, обеспечивающей реструктуризацию секторов национальной экономики. За счет многопрофильной отраслевой структуры, стабильного развития в последние годы обра</w:t>
      </w:r>
      <w:r>
        <w:rPr>
          <w:rFonts w:ascii="Arial" w:hAnsi="Arial" w:cs="Arial" w:eastAsia="Arial"/>
          <w:sz w:val="20"/>
          <w:szCs w:val="20"/>
          <w:lang w:val="ru-RU" w:bidi="ru-RU"/>
        </w:rPr>
        <w:t xml:space="preserve">батывающего промышленного комплекса, относительно слабой зависимости от сервисных рынков городских и контактных услуг (в том числе за счет малого масштаба внутреннего рынка), Томская область сохранила устойчивую динамику отраслей и занятости в период шоков</w:t>
      </w:r>
      <w:r>
        <w:rPr>
          <w:rFonts w:ascii="Arial" w:hAnsi="Arial" w:cs="Arial" w:eastAsia="Arial"/>
          <w:sz w:val="20"/>
          <w:szCs w:val="20"/>
          <w:lang w:val="ru-RU" w:bidi="ru-RU"/>
        </w:rPr>
        <w:t xml:space="preserve">, связанных с общенациональным локдауном. Возможность региона сегодня - создать задел для модернизации существующих и появления новых отраслей. Актуальная во всем мире задача комплексной реструктуризации социально значимых отраслей, защиты труда и рабочих </w:t>
      </w:r>
      <w:r>
        <w:rPr>
          <w:rFonts w:ascii="Arial" w:hAnsi="Arial" w:cs="Arial" w:eastAsia="Arial"/>
          <w:sz w:val="20"/>
          <w:szCs w:val="20"/>
          <w:lang w:val="ru-RU" w:bidi="ru-RU"/>
        </w:rPr>
        <w:t xml:space="preserve">мест, реализации массовых программ переобучения по новым востребованным профессиям также может быть осуществлена с участием области. Томская область как регион, который всегда обеспечивал кадрами страну и мир, выступал национальным лидером в сфере гуманита</w:t>
      </w:r>
      <w:r>
        <w:rPr>
          <w:rFonts w:ascii="Arial" w:hAnsi="Arial" w:cs="Arial" w:eastAsia="Arial"/>
          <w:sz w:val="20"/>
          <w:szCs w:val="20"/>
          <w:lang w:val="ru-RU" w:bidi="ru-RU"/>
        </w:rPr>
        <w:t xml:space="preserve">рной и инженерной подготовки, может переориентировать программы подготовки на новые актуальные сегодня профессии будущего в наиболее эффективных форматах (в том числе в рамках инициативы WorldSkills и пр.) для новых специализаций экономики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w:t>
      </w:r>
      <w:r>
        <w:rPr>
          <w:rFonts w:ascii="Arial" w:hAnsi="Arial" w:cs="Arial" w:eastAsia="Arial"/>
          <w:sz w:val="20"/>
          <w:szCs w:val="20"/>
          <w:lang w:val="ru-RU" w:bidi="ru-RU"/>
        </w:rPr>
        <w:t xml:space="preserve">Томская область может выступить в качестве одного из ключевых центров технологического обеспечения модернизации национального ТЭК в рамках стратегических национальных задач, которые сформулированы, в том числе в Стратегии развития энергетики Российской Фед</w:t>
      </w:r>
      <w:r>
        <w:rPr>
          <w:rFonts w:ascii="Arial" w:hAnsi="Arial" w:cs="Arial" w:eastAsia="Arial"/>
          <w:sz w:val="20"/>
          <w:szCs w:val="20"/>
          <w:lang w:val="ru-RU" w:bidi="ru-RU"/>
        </w:rPr>
        <w:t xml:space="preserve">ерации до 2035 года. Региональный ТЭК отличает высокий уровень технологичности производств, комплексности индустриальных и инженерных объектов. Область обладает уникальным научным потенциалом и инженерными компетенциями при достаточно удобном географическо</w:t>
      </w:r>
      <w:r>
        <w:rPr>
          <w:rFonts w:ascii="Arial" w:hAnsi="Arial" w:cs="Arial" w:eastAsia="Arial"/>
          <w:sz w:val="20"/>
          <w:szCs w:val="20"/>
          <w:lang w:val="ru-RU" w:bidi="ru-RU"/>
        </w:rPr>
        <w:t xml:space="preserve">м расположении по отношению к территориям нового ресурсного освоения. В частности, Томский политехнический университет занимает 26 место в мире и 1 место среди российских образовательных организаций высшего образования по направлению "Нефтегазовое дело" в </w:t>
      </w:r>
      <w:r>
        <w:rPr>
          <w:rFonts w:ascii="Arial" w:hAnsi="Arial" w:cs="Arial" w:eastAsia="Arial"/>
          <w:sz w:val="20"/>
          <w:szCs w:val="20"/>
          <w:lang w:val="ru-RU" w:bidi="ru-RU"/>
        </w:rPr>
        <w:t xml:space="preserve">рейтинге QS. Инженерные компетенции и кадровый потенциал области могут быть востребованы в связи с запуском нового инвестиционного этапа освоения углеводородов и иных природных ресурсов арктических и дальневосточных территорий России, куда в настоящее врем</w:t>
      </w:r>
      <w:r>
        <w:rPr>
          <w:rFonts w:ascii="Arial" w:hAnsi="Arial" w:cs="Arial" w:eastAsia="Arial"/>
          <w:sz w:val="20"/>
          <w:szCs w:val="20"/>
          <w:lang w:val="ru-RU" w:bidi="ru-RU"/>
        </w:rPr>
        <w:t xml:space="preserve">я смещаются стратегии и инвестиции крупного бизнеса. В частности, в Арктике формируется крупнейшая в стране новая индустриальная зона (объединяющая ряд субъектов Российской Федерации), для которой будут действовать благоприятные режимы реализации крупных и</w:t>
      </w:r>
      <w:r>
        <w:rPr>
          <w:rFonts w:ascii="Arial" w:hAnsi="Arial" w:cs="Arial" w:eastAsia="Arial"/>
          <w:sz w:val="20"/>
          <w:szCs w:val="20"/>
          <w:lang w:val="ru-RU" w:bidi="ru-RU"/>
        </w:rPr>
        <w:t xml:space="preserve">нвестиционных и инфраструктурных проектов. Имея компетенции по работе в критических условиях, Томская область может стать технологической базой для новых территорий промышленного освоения - Арктики, Дальнего Востока. Кроме того, регион может выступить лиде</w:t>
      </w:r>
      <w:r>
        <w:rPr>
          <w:rFonts w:ascii="Arial" w:hAnsi="Arial" w:cs="Arial" w:eastAsia="Arial"/>
          <w:sz w:val="20"/>
          <w:szCs w:val="20"/>
          <w:lang w:val="ru-RU" w:bidi="ru-RU"/>
        </w:rPr>
        <w:t xml:space="preserve">ром инновационной перестройки энергетики. Необходимо сделать ставку на новые энергетические ресурсы, привлечение новых игроков рынка. Таким образом, Томск может укрепиться как инженерный центр модернизации ТЭК, территория создания инновационной энергетики.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Томская область как многопрофильный, промышленно развитый регион, в котором сегодня производятся наукоемкие компоненты практически для всех продуктовых отраслей, может стать базой гибкой перенастройки на новые задачи, площадкой создания суверенных тех</w:t>
      </w:r>
      <w:r>
        <w:rPr>
          <w:rFonts w:ascii="Arial" w:hAnsi="Arial" w:cs="Arial" w:eastAsia="Arial"/>
          <w:sz w:val="20"/>
          <w:szCs w:val="20"/>
          <w:lang w:val="ru-RU" w:bidi="ru-RU"/>
        </w:rPr>
        <w:t xml:space="preserve">нологий для новых и формирующихся производственных цепочек. Область может выступить поставщиком "глубоких" технологических решений и кадров для сложных наукоемких задач, стать территорией новой индустриальной безопасности в системных отраслях национальной </w:t>
      </w:r>
      <w:r>
        <w:rPr>
          <w:rFonts w:ascii="Arial" w:hAnsi="Arial" w:cs="Arial" w:eastAsia="Arial"/>
          <w:sz w:val="20"/>
          <w:szCs w:val="20"/>
          <w:lang w:val="ru-RU" w:bidi="ru-RU"/>
        </w:rPr>
        <w:t xml:space="preserve">экономики, партнером федеральных компаний. Региону уже удалось занять и удерживать лидирующие в стране позиции в отраслях цифровой экономики, ИТ, сложного инжиниринга, точного машиностроения, электроники, а указанные региональные сегменты "новой экономики"</w:t>
      </w:r>
      <w:r>
        <w:rPr>
          <w:rFonts w:ascii="Arial" w:hAnsi="Arial" w:cs="Arial" w:eastAsia="Arial"/>
          <w:sz w:val="20"/>
          <w:szCs w:val="20"/>
          <w:lang w:val="ru-RU" w:bidi="ru-RU"/>
        </w:rPr>
        <w:t xml:space="preserve"> растут темпами более 15% в год (в среднем с 2014 до 2019 года). В перспективе регион может рассчитывать на локализацию наиболее доходных звеньев цепочек добавленной стоимости - инжиниринга, цифровых инноваций, высокотехнологичных услуг для новых секторов.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4. В новом экономическом цикле Томская область может создать развивающийся деловой центр в предела</w:t>
      </w:r>
      <w:r>
        <w:rPr>
          <w:rFonts w:ascii="Arial" w:hAnsi="Arial" w:cs="Arial" w:eastAsia="Arial"/>
          <w:sz w:val="20"/>
          <w:szCs w:val="20"/>
          <w:lang w:val="ru-RU" w:bidi="ru-RU"/>
        </w:rPr>
        <w:t xml:space="preserve">х запланированной в Стратегии пространственного развития России Южно-Сибирской конурбации численностью более 10 млн человек со специализацией на высоких и цифровых технологиях, предполагающей форсированное развитие воздушного и скоростного дорожного сообще</w:t>
      </w:r>
      <w:r>
        <w:rPr>
          <w:rFonts w:ascii="Arial" w:hAnsi="Arial" w:cs="Arial" w:eastAsia="Arial"/>
          <w:sz w:val="20"/>
          <w:szCs w:val="20"/>
          <w:lang w:val="ru-RU" w:bidi="ru-RU"/>
        </w:rPr>
        <w:t xml:space="preserve">ния между ключевыми центрами Сибири. В Томской области сегодня уже расположены более 500 ИТ-компаний, свыше 100 из которых поставляют решения на глобальные рынки, создана мощная кадровая база для обеспечения цифровыми решениями и навыками ключевых сфер эко</w:t>
      </w:r>
      <w:r>
        <w:rPr>
          <w:rFonts w:ascii="Arial" w:hAnsi="Arial" w:cs="Arial" w:eastAsia="Arial"/>
          <w:sz w:val="20"/>
          <w:szCs w:val="20"/>
          <w:lang w:val="ru-RU" w:bidi="ru-RU"/>
        </w:rPr>
        <w:t xml:space="preserve">номики. По данным рейтинга регионов, по уровню развития ИТ-сектора РУССОФТ Томская область занимает 10 место в России по размеру отрасли (по итогам 2019 г.) и 5 место по объему экспорта телекоммуникационных, компьютерных, информационных услуг на душу насел</w:t>
      </w:r>
      <w:r>
        <w:rPr>
          <w:rFonts w:ascii="Arial" w:hAnsi="Arial" w:cs="Arial" w:eastAsia="Arial"/>
          <w:sz w:val="20"/>
          <w:szCs w:val="20"/>
          <w:lang w:val="ru-RU" w:bidi="ru-RU"/>
        </w:rPr>
        <w:t xml:space="preserve">ения (по итогам 2018 г.). По данным рейтинга РВК в 2020 г., две компании региона (UNIGINE и ENBISYS - единственные представители СФО) вошли в топ-50 российских предприятий в области создания и коммерциализации продуктов и услуг на базе сквозных технологий </w:t>
      </w:r>
      <w:r>
        <w:rPr>
          <w:rFonts w:ascii="Arial" w:hAnsi="Arial" w:cs="Arial" w:eastAsia="Arial"/>
          <w:sz w:val="20"/>
          <w:szCs w:val="20"/>
          <w:lang w:val="ru-RU" w:bidi="ru-RU"/>
        </w:rPr>
        <w:t xml:space="preserve">цифровой экономики. Реагируя на вызов цифровизации основных рынков, регион может стать центром создания цифровых продуктов, в том числе в сфере специального назначения или потребительского спроса. Томская область может выступить площадкой для пилотирования</w:t>
      </w:r>
      <w:r>
        <w:rPr>
          <w:rFonts w:ascii="Arial" w:hAnsi="Arial" w:cs="Arial" w:eastAsia="Arial"/>
          <w:sz w:val="20"/>
          <w:szCs w:val="20"/>
          <w:lang w:val="ru-RU" w:bidi="ru-RU"/>
        </w:rPr>
        <w:t xml:space="preserve"> нового поколения инновационных институтов, системы поддержки инжиниринга и трансфера технологий, в том числе региональных и университетских центров, территорией развития новых механизмов привлечения инновационных компаний в действующие ТОСЭР и ОЭЗ, развор</w:t>
      </w:r>
      <w:r>
        <w:rPr>
          <w:rFonts w:ascii="Arial" w:hAnsi="Arial" w:cs="Arial" w:eastAsia="Arial"/>
          <w:sz w:val="20"/>
          <w:szCs w:val="20"/>
          <w:lang w:val="ru-RU" w:bidi="ru-RU"/>
        </w:rPr>
        <w:t xml:space="preserve">ачивания новых инвестиционных режимов для внедрения высоких технологий в промышленные сектора, а также обеспечить по отношению к другим регионам Сибири высокий уровень развития технологической инфраструктуры для поддержки формирования новых бизнес-моделей.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Томская область может стать центром отработки новых форматов и технологических решений для массового применения в процессах модернизации социальной сферы, прежде всего в системах здравоохранения и </w:t>
      </w:r>
      <w:r>
        <w:rPr>
          <w:rFonts w:ascii="Arial" w:hAnsi="Arial" w:cs="Arial" w:eastAsia="Arial"/>
          <w:sz w:val="20"/>
          <w:szCs w:val="20"/>
          <w:lang w:val="ru-RU" w:bidi="ru-RU"/>
        </w:rPr>
        <w:t xml:space="preserve">образования. Преимуществом Томской области является наличие квалифицированных кадров и разработок, что позволяет области стать тестовой площадкой для новых решений, обеспечивающих синхронизацию социальных систем с современными технологическими платформами.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6. Томская область может укрепиться как территория притяжения и самореализации качественного чел</w:t>
      </w:r>
      <w:r>
        <w:rPr>
          <w:rFonts w:ascii="Arial" w:hAnsi="Arial" w:cs="Arial" w:eastAsia="Arial"/>
          <w:sz w:val="20"/>
          <w:szCs w:val="20"/>
          <w:lang w:val="ru-RU" w:bidi="ru-RU"/>
        </w:rPr>
        <w:t xml:space="preserve">овеческого капитала. Сегодня регион уже привлекает лучших студентов со всей страны, а также является заметным экспортером услуг высшего образования. Возможности развития заключаются в удержании качественного человеческого капитала на территории Томской обл</w:t>
      </w:r>
      <w:r>
        <w:rPr>
          <w:rFonts w:ascii="Arial" w:hAnsi="Arial" w:cs="Arial" w:eastAsia="Arial"/>
          <w:sz w:val="20"/>
          <w:szCs w:val="20"/>
          <w:lang w:val="ru-RU" w:bidi="ru-RU"/>
        </w:rPr>
        <w:t xml:space="preserve">асти после окончания обучения. Ставка должна быть сделана на создание высокопроизводительных рабочих мест во внебюджетном секторе для молодых профессионалов, поддержку востребованности новых профессий, создание качественной и разнообразной городской среды.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7. Томская область может использовать для решения стратегических задач развития новые инструменты и механизмы, создаваемые на уровне Российск</w:t>
      </w:r>
      <w:r>
        <w:rPr>
          <w:rFonts w:ascii="Arial" w:hAnsi="Arial" w:cs="Arial" w:eastAsia="Arial"/>
          <w:sz w:val="20"/>
          <w:szCs w:val="20"/>
          <w:lang w:val="ru-RU" w:bidi="ru-RU"/>
        </w:rPr>
        <w:t xml:space="preserve">ой Федерации (в частности, в рамках национальных проектов), в том числе позволяющие привлечь дополнительные федеральные ресурсы. При этом данные задачи должны формулироваться в соответствии с национальными целями развития Российской Федерации до 2030 года.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Ограничения и барьеры развития региона, которые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необходимо устранить</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Для формирования адекватного ответа на вызовы и наиболее полного использования открывающихся возможностей необходимо учитывать внутренние ограничения экономики и социальной сферы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Устойчивость в большинстве секторов региональной экономики низкая. Нефтегазодобывающий комплекс вступил в фазу стагнации, что приводит к пос</w:t>
      </w:r>
      <w:r>
        <w:rPr>
          <w:rFonts w:ascii="Arial" w:hAnsi="Arial" w:cs="Arial" w:eastAsia="Arial"/>
          <w:sz w:val="20"/>
          <w:szCs w:val="20"/>
          <w:lang w:val="ru-RU" w:bidi="ru-RU"/>
        </w:rPr>
        <w:t xml:space="preserve">тепенной рецессии для большинства секторов. За период 2014 - 2020 гг. диверсификация региональной экономики происходила достаточно медленно. Нестабильности доминирующего в структуре ВРП сырьевого сектора способствует волатильная конъюнктура на сырьевых рын</w:t>
      </w:r>
      <w:r>
        <w:rPr>
          <w:rFonts w:ascii="Arial" w:hAnsi="Arial" w:cs="Arial" w:eastAsia="Arial"/>
          <w:sz w:val="20"/>
          <w:szCs w:val="20"/>
          <w:lang w:val="ru-RU" w:bidi="ru-RU"/>
        </w:rPr>
        <w:t xml:space="preserve">ках и снижение инвестиций. Специализация на традиционной нефтегазодобыче и переработке больше не гарантирует стабильности региональной экономической системы, особенно в горизонте до 2030 года. Традиционный базовый сектор в горизонте следующих 10 лет будет </w:t>
      </w:r>
      <w:r>
        <w:rPr>
          <w:rFonts w:ascii="Arial" w:hAnsi="Arial" w:cs="Arial" w:eastAsia="Arial"/>
          <w:sz w:val="20"/>
          <w:szCs w:val="20"/>
          <w:lang w:val="ru-RU" w:bidi="ru-RU"/>
        </w:rPr>
        <w:t xml:space="preserve">испытывать ценовое давление со стороны потребителей и сокращение отдачи от инвестиций. Для наиболее значимых отраслей обрабатывающей промышленности (среди них: химическая (12,6%); пищевая (16,5%), лесоперерабатывающая (14,9%); металлургия (8,1%)) обостряют</w:t>
      </w:r>
      <w:r>
        <w:rPr>
          <w:rFonts w:ascii="Arial" w:hAnsi="Arial" w:cs="Arial" w:eastAsia="Arial"/>
          <w:sz w:val="20"/>
          <w:szCs w:val="20"/>
          <w:lang w:val="ru-RU" w:bidi="ru-RU"/>
        </w:rPr>
        <w:t xml:space="preserve">ся риски, связанные с возможными разрывами в цепочках поставок, вызванными эпидемиологической ситуацией 2020 года и снижением курса рубля. Существует угроза удорожания себестоимости производства и сбыта, снижения конкурентоспособности региональных предприя</w:t>
      </w:r>
      <w:r>
        <w:rPr>
          <w:rFonts w:ascii="Arial" w:hAnsi="Arial" w:cs="Arial" w:eastAsia="Arial"/>
          <w:sz w:val="20"/>
          <w:szCs w:val="20"/>
          <w:lang w:val="ru-RU" w:bidi="ru-RU"/>
        </w:rPr>
        <w:t xml:space="preserve">тий. Кроме того, большинство предприятий базовых отраслей характеризуется невысоким уровнем инновационной и технологической активности, испытывает сложности с диверсификацией продуктовых портфелей, переобучением персонала, поиском новых партнеров и рынков.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Томская область пока обладает ограниченными возможностями позиционирования как технологический центр ТЭК мирового уровня. Масштаб компаний-инвесторов, инжиниринговых центров, кадров и компетенций пока не позволяет говорить о нал</w:t>
      </w:r>
      <w:r>
        <w:rPr>
          <w:rFonts w:ascii="Arial" w:hAnsi="Arial" w:cs="Arial" w:eastAsia="Arial"/>
          <w:sz w:val="20"/>
          <w:szCs w:val="20"/>
          <w:lang w:val="ru-RU" w:bidi="ru-RU"/>
        </w:rPr>
        <w:t xml:space="preserve">ичии современного многопрофильного энергетического кластера. Возможная "стратегическая ставка" запуска нового инновационного цикла в энергетике пока не обеспечена мероприятиями региональной госполитики. Новые быстро растущие энергетические рынки с опорой н</w:t>
      </w:r>
      <w:r>
        <w:rPr>
          <w:rFonts w:ascii="Arial" w:hAnsi="Arial" w:cs="Arial" w:eastAsia="Arial"/>
          <w:sz w:val="20"/>
          <w:szCs w:val="20"/>
          <w:lang w:val="ru-RU" w:bidi="ru-RU"/>
        </w:rPr>
        <w:t xml:space="preserve">а технологические бизнесы, предпринимательский капитал, специализированную наукоемкую инфраструктуру, а также новые институциональные модели пока не являются предметом фокусировки региональной промышленной политики. Уровень инфраструктуры для позиционирова</w:t>
      </w:r>
      <w:r>
        <w:rPr>
          <w:rFonts w:ascii="Arial" w:hAnsi="Arial" w:cs="Arial" w:eastAsia="Arial"/>
          <w:sz w:val="20"/>
          <w:szCs w:val="20"/>
          <w:lang w:val="ru-RU" w:bidi="ru-RU"/>
        </w:rPr>
        <w:t xml:space="preserve">ния региона на растущих и прорывных рынках новых энергетических технологий недостаточен. Масштабная реструктуризация нефтегазового комплекса требует кооперационной схемы с ключевыми участниками энергетических рынков, которая на сегодняшний день не сложена.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Формирование новой промышленной сп</w:t>
      </w:r>
      <w:r>
        <w:rPr>
          <w:rFonts w:ascii="Arial" w:hAnsi="Arial" w:cs="Arial" w:eastAsia="Arial"/>
          <w:sz w:val="20"/>
          <w:szCs w:val="20"/>
          <w:lang w:val="ru-RU" w:bidi="ru-RU"/>
        </w:rPr>
        <w:t xml:space="preserve">ециализации в области "глубоких технологий" ограничено отсутствием взаимовыгодной схемы интеграции научных, образовательных и предпринимательских структур. Не созданы уникальные/выгодные условия для локализации технологического капитала новых рынков, отсут</w:t>
      </w:r>
      <w:r>
        <w:rPr>
          <w:rFonts w:ascii="Arial" w:hAnsi="Arial" w:cs="Arial" w:eastAsia="Arial"/>
          <w:sz w:val="20"/>
          <w:szCs w:val="20"/>
          <w:lang w:val="ru-RU" w:bidi="ru-RU"/>
        </w:rPr>
        <w:t xml:space="preserve">ствуют крупные компании, работающие в рамках глобального высокотехнологичного бизнеса, поставляющие продукты конечного потребления на мировые рынки (брендовые компании конечного спроса). Компетенции региональных исследовательских организаций и инжинирингов</w:t>
      </w:r>
      <w:r>
        <w:rPr>
          <w:rFonts w:ascii="Arial" w:hAnsi="Arial" w:cs="Arial" w:eastAsia="Arial"/>
          <w:sz w:val="20"/>
          <w:szCs w:val="20"/>
          <w:lang w:val="ru-RU" w:bidi="ru-RU"/>
        </w:rPr>
        <w:t xml:space="preserve">ых компаний-поставщиков услуг, компонентов и сервисов также слабо представлены в мировых технологических цепочках. В сфере ИТ, несмотря на отмеченные успехи региональных компаний, развитие ограничено низкомаржинальными офшорными разработками, а также подго</w:t>
      </w:r>
      <w:r>
        <w:rPr>
          <w:rFonts w:ascii="Arial" w:hAnsi="Arial" w:cs="Arial" w:eastAsia="Arial"/>
          <w:sz w:val="20"/>
          <w:szCs w:val="20"/>
          <w:lang w:val="ru-RU" w:bidi="ru-RU"/>
        </w:rPr>
        <w:t xml:space="preserve">товкой кадров для глобальных компаний. Стоит отметить дефициты научно-технологической инфраструктуры и инфраструктуры для передового инжиниринга (включая недостаток высокотехнологичного оборудования, зон для экспериментирования, тестирования технологий, оп</w:t>
      </w:r>
      <w:r>
        <w:rPr>
          <w:rFonts w:ascii="Arial" w:hAnsi="Arial" w:cs="Arial" w:eastAsia="Arial"/>
          <w:sz w:val="20"/>
          <w:szCs w:val="20"/>
          <w:lang w:val="ru-RU" w:bidi="ru-RU"/>
        </w:rPr>
        <w:t xml:space="preserve">ытного производства), необходимой для развития новых высокотехнологических отраслей, в частности технологических сервисов, достаточных для создания продуктов для активно развивающихся секторов - новой химии, микроэлектроники, новых материалов, инжиниринга.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4. Ограничены возможн</w:t>
      </w:r>
      <w:r>
        <w:rPr>
          <w:rFonts w:ascii="Arial" w:hAnsi="Arial" w:cs="Arial" w:eastAsia="Arial"/>
          <w:sz w:val="20"/>
          <w:szCs w:val="20"/>
          <w:lang w:val="ru-RU" w:bidi="ru-RU"/>
        </w:rPr>
        <w:t xml:space="preserve">ости повышения инвестиционной привлекательности территории с опорой на существующие инструменты и институты развития инвестиций. К сдерживающим факторам развития инвестиционной деятельности в Томской области, сформировавшимся в 2014 - 2020 году, относятся: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общеэкономич</w:t>
      </w:r>
      <w:r>
        <w:rPr>
          <w:rFonts w:ascii="Arial" w:hAnsi="Arial" w:cs="Arial" w:eastAsia="Arial"/>
          <w:sz w:val="20"/>
          <w:szCs w:val="20"/>
          <w:lang w:val="ru-RU" w:bidi="ru-RU"/>
        </w:rPr>
        <w:t xml:space="preserve">еские факторы, ограничивающие инвестиционную деятельность предприятий в Томской области, включающие: недостаточность собственных финансовых средств; непредсказуемость инфляции и неудовлетворительную антиинфляционную политику в стране; инвестиционные риски;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системные ограничивающие факторы, включающие: низкую транспортную доступность; диспропорции территориального развития, в том числе недостат</w:t>
      </w:r>
      <w:r>
        <w:rPr>
          <w:rFonts w:ascii="Arial" w:hAnsi="Arial" w:cs="Arial" w:eastAsia="Arial"/>
          <w:sz w:val="20"/>
          <w:szCs w:val="20"/>
          <w:lang w:val="ru-RU" w:bidi="ru-RU"/>
        </w:rPr>
        <w:t xml:space="preserve">ок инвестиционной, инженерной и иной инфраструктуры в отдаленных районах; ограниченный объем внутреннего рынка; истощение разведанных месторождений углеводородного сырья, несовершенство кадастрового учета, неактуальные данные по состоянию лесосырьевых баз;</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пандемия 2020 года. Введение противоэпидемических мероприятий привело к ухудшению финансово-экономического состояния мировой экономики в целом, а также стран и предприятий, кризисные явления отразились на процессах инвестирования. В новый "кризис</w:t>
      </w:r>
      <w:r>
        <w:rPr>
          <w:rFonts w:ascii="Arial" w:hAnsi="Arial" w:cs="Arial" w:eastAsia="Arial"/>
          <w:sz w:val="20"/>
          <w:szCs w:val="20"/>
          <w:lang w:val="ru-RU" w:bidi="ru-RU"/>
        </w:rPr>
        <w:t xml:space="preserve">ный период" перечень основных факторов, ограничивающих инвестиционную деятельность, дополнился недостаточным спросом на продукцию, услуги; неопределенностью экономической обстановки; высоким процентом коммерческого кредита; высоким уровнем налогообложения.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Текущие инвестиционные инструменты поддерживают модер</w:t>
      </w:r>
      <w:r>
        <w:rPr>
          <w:rFonts w:ascii="Arial" w:hAnsi="Arial" w:cs="Arial" w:eastAsia="Arial"/>
          <w:sz w:val="20"/>
          <w:szCs w:val="20"/>
          <w:lang w:val="ru-RU" w:bidi="ru-RU"/>
        </w:rPr>
        <w:t xml:space="preserve">низацию и техническое перевооружение действующих предприятий, но пока не стимулируют переход на радикально новые технологии, а также не направлены на адресное привлечение инвесторов со стороны новых рынков, инвесторов в отрасли высоких переделов. Развитие </w:t>
      </w:r>
      <w:r>
        <w:rPr>
          <w:rFonts w:ascii="Arial" w:hAnsi="Arial" w:cs="Arial" w:eastAsia="Arial"/>
          <w:sz w:val="20"/>
          <w:szCs w:val="20"/>
          <w:lang w:val="ru-RU" w:bidi="ru-RU"/>
        </w:rPr>
        <w:t xml:space="preserve">малого и среднего бизнеса и локальных брендов, несмотря на определенные успехи местных компаний, сдерживается как слабым внутренним рынком, так и отсутствием у предпринимателей технологий, ресурсов и компетенций, способствующих интеграции во внешние рынки.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Ограничения со стороны ключевых инженерны</w:t>
      </w:r>
      <w:r>
        <w:rPr>
          <w:rFonts w:ascii="Arial" w:hAnsi="Arial" w:cs="Arial" w:eastAsia="Arial"/>
          <w:sz w:val="20"/>
          <w:szCs w:val="20"/>
          <w:lang w:val="ru-RU" w:bidi="ru-RU"/>
        </w:rPr>
        <w:t xml:space="preserve">х инфраструктур и системы городского расселения, которые особенно актуальны на уровне муниципальных образований. Состояние транспортно-логистической, ИКТ и ЖКХ-инфраструктур не соответствует ожиданиям промышленных предприятий и организаций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Соглас</w:t>
      </w:r>
      <w:r>
        <w:rPr>
          <w:rFonts w:ascii="Arial" w:hAnsi="Arial" w:cs="Arial" w:eastAsia="Arial"/>
          <w:sz w:val="20"/>
          <w:szCs w:val="20"/>
          <w:lang w:val="ru-RU" w:bidi="ru-RU"/>
        </w:rPr>
        <w:t xml:space="preserve">но проведенному опросу представителей 28 хозяйствующих субъектов Томской области 10% предприятий считают обеспеченность инфраструктурой недостаточной для обеспечения текущей деятельности, порядка 60% считают обеспеченность инфраструктурой достаточной для т</w:t>
      </w:r>
      <w:r>
        <w:rPr>
          <w:rFonts w:ascii="Arial" w:hAnsi="Arial" w:cs="Arial" w:eastAsia="Arial"/>
          <w:sz w:val="20"/>
          <w:szCs w:val="20"/>
          <w:lang w:val="ru-RU" w:bidi="ru-RU"/>
        </w:rPr>
        <w:t xml:space="preserve">екущей деятельности, но не достаточной для расширения и выхода на новые рынки. В регионе отсутствуют необходимый объем средств и компетенций для перехода инфраструктуры на новые стандарты и технологии. Качество ЖКХ, газификации находится на среднем уровне.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6. Отсутстви</w:t>
      </w:r>
      <w:r>
        <w:rPr>
          <w:rFonts w:ascii="Arial" w:hAnsi="Arial" w:cs="Arial" w:eastAsia="Arial"/>
          <w:sz w:val="20"/>
          <w:szCs w:val="20"/>
          <w:lang w:val="ru-RU" w:bidi="ru-RU"/>
        </w:rPr>
        <w:t xml:space="preserve">е эффективных механизмов внедрения результатов научных наработок и новых технологий в модернизацию отраслей социальной сферы. Не создано необходимое нормативное и ресурсное обеспечение перевода социальной системы в форматы технологических цифровых платформ</w:t>
      </w:r>
      <w:r>
        <w:rPr>
          <w:rFonts w:ascii="Arial" w:hAnsi="Arial" w:cs="Arial" w:eastAsia="Arial"/>
          <w:sz w:val="20"/>
          <w:szCs w:val="20"/>
          <w:lang w:val="ru-RU" w:bidi="ru-RU"/>
        </w:rPr>
        <w:t xml:space="preserve">, заметна зарегулированность социальной сферы, характеризующаяся наличием большого количества накладываемых государством ограничений и регулирующих законов. Ограничениями также являются неготовность части жителей к цифровой трансформации и недостаточная ци</w:t>
      </w:r>
      <w:r>
        <w:rPr>
          <w:rFonts w:ascii="Arial" w:hAnsi="Arial" w:cs="Arial" w:eastAsia="Arial"/>
          <w:sz w:val="20"/>
          <w:szCs w:val="20"/>
          <w:lang w:val="ru-RU" w:bidi="ru-RU"/>
        </w:rPr>
        <w:t xml:space="preserve">фровая грамотность. Существенным сдерживающим фактором является отсутствие полноценной цифровой инфраструктуры (сотовая связь, доступ в интернет) в отдельных муниципальных образованиях, что делает для них невозможным переход на дистанционный/онлайн-формат.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7. Ограниченная привлекательность То</w:t>
      </w:r>
      <w:r>
        <w:rPr>
          <w:rFonts w:ascii="Arial" w:hAnsi="Arial" w:cs="Arial" w:eastAsia="Arial"/>
          <w:sz w:val="20"/>
          <w:szCs w:val="20"/>
          <w:lang w:val="ru-RU" w:bidi="ru-RU"/>
        </w:rPr>
        <w:t xml:space="preserve">мской области для качественного человеческого капитала. Низкая привлекательность для интеллектуального класса (талантливых исследователей, инженеров и предпринимателей) служит главным риском утраты энергии для будущего развития. Условия жизни (экологическа</w:t>
      </w:r>
      <w:r>
        <w:rPr>
          <w:rFonts w:ascii="Arial" w:hAnsi="Arial" w:cs="Arial" w:eastAsia="Arial"/>
          <w:sz w:val="20"/>
          <w:szCs w:val="20"/>
          <w:lang w:val="ru-RU" w:bidi="ru-RU"/>
        </w:rPr>
        <w:t xml:space="preserve">я среда, городская среда, качество жизни, жилищные условия &lt;17&gt;) и те возможности самореализации (карьера, доходы), которые сегодня предоставляет регион, не соответствуют ожиданиям и ценностям жителей, в особенности активной молодежи. Несмотря на то, что о</w:t>
      </w:r>
      <w:r>
        <w:rPr>
          <w:rFonts w:ascii="Arial" w:hAnsi="Arial" w:cs="Arial" w:eastAsia="Arial"/>
          <w:sz w:val="20"/>
          <w:szCs w:val="20"/>
          <w:lang w:val="ru-RU" w:bidi="ru-RU"/>
        </w:rPr>
        <w:t xml:space="preserve">бразовательные организации высшего образования привлекают лучших выпускников страны, лишь немногие затем остаются в регионе. Молодые специалисты и предприниматели зачастую используют Томскую область как "стартовую площадку", а затем покидают регион (пики м</w:t>
      </w:r>
      <w:r>
        <w:rPr>
          <w:rFonts w:ascii="Arial" w:hAnsi="Arial" w:cs="Arial" w:eastAsia="Arial"/>
          <w:sz w:val="20"/>
          <w:szCs w:val="20"/>
          <w:lang w:val="ru-RU" w:bidi="ru-RU"/>
        </w:rPr>
        <w:t xml:space="preserve">играционной убыли приходятся на 25 - 29-летних). Институты (образовательные организации разных уровней образования, ЦОПП, службы поддержки занятости населения, центры трудоустройства), отвечающие за профессиональное развитие на протяжении жизни, повышающие</w:t>
      </w:r>
      <w:r>
        <w:rPr>
          <w:rFonts w:ascii="Arial" w:hAnsi="Arial" w:cs="Arial" w:eastAsia="Arial"/>
          <w:sz w:val="20"/>
          <w:szCs w:val="20"/>
          <w:lang w:val="ru-RU" w:bidi="ru-RU"/>
        </w:rPr>
        <w:t xml:space="preserve"> шансы на включение в новые виды деятельности, пока не работают в полной мере. Рост в профессиональных сообществах не превратился в самостоятельный социальный институт, несмотря на успехи в части формирования мета-сообществ и поддержки сообществ практиков.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&lt;17&gt; Практически отсутствуют современные и привлекательные для молодежи форматы недвижимости, такие как: аппарт-отели (апартаменты, предназначенные для длительного, но временного проживания, собственниками которых могут быть ф</w:t>
      </w:r>
      <w:r>
        <w:rPr>
          <w:rFonts w:ascii="Arial" w:hAnsi="Arial" w:cs="Arial" w:eastAsia="Arial"/>
          <w:sz w:val="20"/>
          <w:szCs w:val="20"/>
          <w:lang w:val="ru-RU" w:bidi="ru-RU"/>
        </w:rPr>
        <w:t xml:space="preserve">изические лица), лофты (промышленные здания, переоборудованные под жилье), коливинги (тип жилья (квартира, дом), предназначенный для совместного проживания с единомышленниками), капсульные отели (отели, собранные из капсульных ячеек - спальных мест) и т.д.</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 Отставание Томской области по ряду пока</w:t>
      </w:r>
      <w:r>
        <w:rPr>
          <w:rFonts w:ascii="Arial" w:hAnsi="Arial" w:cs="Arial" w:eastAsia="Arial"/>
          <w:sz w:val="20"/>
          <w:szCs w:val="20"/>
          <w:lang w:val="ru-RU" w:bidi="ru-RU"/>
        </w:rPr>
        <w:t xml:space="preserve">зателей конкурентоспособности от лидеров СФО (определены по объему ВРП, превышающему 500 млрд руб.), некоторым из которых регион пока уступает по качеству городской среды, позициям в рейтингах инвестиционного климата и объемам несырьевого экспорта (таблица</w:t>
      </w:r>
      <w:r>
        <w:rPr>
          <w:rFonts w:ascii="Arial" w:hAnsi="Arial" w:cs="Arial" w:eastAsia="Arial"/>
          <w:sz w:val="20"/>
          <w:szCs w:val="20"/>
          <w:lang w:val="ru-RU" w:bidi="ru-RU"/>
        </w:rPr>
        <w:t xml:space="preserve"> 4). При этом область является более привлекательной для населения по сравнению с промышленными и более удаленными регионами СФО (Иркутской, Омской, Кемеровской областями, Алтайским краем), что подтверждается миграционным приростом. Скорость реакции на вне</w:t>
      </w:r>
      <w:r>
        <w:rPr>
          <w:rFonts w:ascii="Arial" w:hAnsi="Arial" w:cs="Arial" w:eastAsia="Arial"/>
          <w:sz w:val="20"/>
          <w:szCs w:val="20"/>
          <w:lang w:val="ru-RU" w:bidi="ru-RU"/>
        </w:rPr>
        <w:t xml:space="preserve">шние вызовы, использование возможностей и способность преодолеть отмеченные ограничения в долгосрочной перспективе будут оказывать прямое влияние на рост или снижение ключевых параметров конкурентоспособности региона по сравнению с другими центрами Сибири.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4 - Параметры развития Томской области в сравнении</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 регионами Сибирского федерального округа (регионами</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референтной группы)</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jc w:val="center"/>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843"/>
        <w:gridCol w:w="1245"/>
        <w:gridCol w:w="1165"/>
        <w:gridCol w:w="1276"/>
        <w:gridCol w:w="1984"/>
        <w:gridCol w:w="1531"/>
      </w:tblGrid>
      <w:tr>
        <w:trPr>
          <w:jc w:val="center"/>
        </w:trPr>
        <w:tc>
          <w:tcPr>
            <w:tcBorders>
              <w:left w:val="single" w:color="000000" w:sz="4" w:space="0"/>
              <w:top w:val="single" w:color="000000" w:sz="4" w:space="0"/>
              <w:right w:val="single" w:color="000000" w:sz="4" w:space="0"/>
              <w:bottom w:val="single" w:color="000000" w:sz="4" w:space="0"/>
            </w:tcBorders>
            <w:tcW w:w="1843"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Регион</w:t>
            </w:r>
            <w:r/>
          </w:p>
        </w:tc>
        <w:tc>
          <w:tcPr>
            <w:tcBorders>
              <w:left w:val="single" w:color="000000" w:sz="4" w:space="0"/>
              <w:top w:val="single" w:color="000000" w:sz="4" w:space="0"/>
              <w:right w:val="single" w:color="000000" w:sz="4" w:space="0"/>
              <w:bottom w:val="single" w:color="000000" w:sz="4" w:space="0"/>
            </w:tcBorders>
            <w:tcW w:w="1245"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Индекс качества городской среды, 2020 (Минстрой России)</w:t>
            </w:r>
            <w:r/>
          </w:p>
        </w:tc>
        <w:tc>
          <w:tcPr>
            <w:tcBorders>
              <w:left w:val="single" w:color="000000" w:sz="4" w:space="0"/>
              <w:top w:val="single" w:color="000000" w:sz="4" w:space="0"/>
              <w:right w:val="single" w:color="000000" w:sz="4" w:space="0"/>
              <w:bottom w:val="single" w:color="000000" w:sz="4" w:space="0"/>
            </w:tcBorders>
            <w:tcW w:w="1165"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Миграционный прирост/убыль, тыс. чел. (2014 - 2019) (Росстат)</w:t>
            </w:r>
            <w:r/>
          </w:p>
        </w:tc>
        <w:tc>
          <w:tcPr>
            <w:tcBorders>
              <w:left w:val="single" w:color="000000" w:sz="4" w:space="0"/>
              <w:top w:val="single" w:color="000000" w:sz="4" w:space="0"/>
              <w:right w:val="single" w:color="000000" w:sz="4" w:space="0"/>
              <w:bottom w:val="single" w:color="000000" w:sz="4" w:space="0"/>
            </w:tcBorders>
            <w:tcW w:w="127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Рейтинг инвестиционного климата по регионам, 2019 (RAEX)</w:t>
            </w:r>
            <w:r/>
          </w:p>
        </w:tc>
        <w:tc>
          <w:tcPr>
            <w:tcBorders>
              <w:left w:val="single" w:color="000000" w:sz="4" w:space="0"/>
              <w:top w:val="single" w:color="000000" w:sz="4" w:space="0"/>
              <w:right w:val="single" w:color="000000" w:sz="4" w:space="0"/>
              <w:bottom w:val="single" w:color="000000" w:sz="4" w:space="0"/>
            </w:tcBorders>
            <w:tcW w:w="198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Производительность труда компаний-чемпионов, млн руб./чел./год, 2018 (Лидеры промышленности России)</w:t>
            </w:r>
            <w:r/>
          </w:p>
        </w:tc>
        <w:tc>
          <w:tcPr>
            <w:tcBorders>
              <w:left w:val="single" w:color="000000" w:sz="4" w:space="0"/>
              <w:top w:val="single" w:color="000000" w:sz="4" w:space="0"/>
              <w:right w:val="single" w:color="000000" w:sz="4" w:space="0"/>
              <w:bottom w:val="single" w:color="000000" w:sz="4" w:space="0"/>
            </w:tcBorders>
            <w:tcW w:w="153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Объем и доля несырьевого неэнергетического экспорта, по регионам, млрд долл., 2020 (Сибирское таможенное управление)</w:t>
            </w:r>
            <w:r/>
          </w:p>
        </w:tc>
      </w:tr>
      <w:tr>
        <w:trPr>
          <w:jc w:val="center"/>
        </w:trPr>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w:t>
            </w:r>
            <w:r/>
          </w:p>
        </w:tc>
        <w:tc>
          <w:tcPr>
            <w:tcBorders>
              <w:left w:val="single" w:color="000000" w:sz="4" w:space="0"/>
              <w:top w:val="single" w:color="000000" w:sz="4" w:space="0"/>
              <w:right w:val="single" w:color="000000" w:sz="4" w:space="0"/>
              <w:bottom w:val="single" w:color="000000" w:sz="4" w:space="0"/>
            </w:tcBorders>
            <w:tcW w:w="124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180</w:t>
            </w:r>
            <w:r/>
          </w:p>
        </w:tc>
        <w:tc>
          <w:tcPr>
            <w:tcBorders>
              <w:left w:val="single" w:color="000000" w:sz="4" w:space="0"/>
              <w:top w:val="single" w:color="000000" w:sz="4" w:space="0"/>
              <w:right w:val="single" w:color="000000" w:sz="4" w:space="0"/>
              <w:bottom w:val="single" w:color="000000" w:sz="4" w:space="0"/>
            </w:tcBorders>
            <w:tcW w:w="116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w:t>
            </w:r>
            <w:r/>
          </w:p>
        </w:tc>
        <w:tc>
          <w:tcPr>
            <w:tcBorders>
              <w:left w:val="single" w:color="000000" w:sz="4" w:space="0"/>
              <w:top w:val="single" w:color="000000" w:sz="4" w:space="0"/>
              <w:right w:val="single" w:color="000000" w:sz="4" w:space="0"/>
              <w:bottom w:val="single" w:color="000000" w:sz="4" w:space="0"/>
            </w:tcBorders>
            <w:tcW w:w="1276"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3В1</w:t>
            </w:r>
            <w:r/>
          </w:p>
        </w:tc>
        <w:tc>
          <w:tcPr>
            <w:tcBorders>
              <w:left w:val="single" w:color="000000" w:sz="4" w:space="0"/>
              <w:top w:val="single" w:color="000000" w:sz="4" w:space="0"/>
              <w:right w:val="single" w:color="000000" w:sz="4" w:space="0"/>
              <w:bottom w:val="single" w:color="000000" w:sz="4" w:space="0"/>
            </w:tcBorders>
            <w:tcW w:w="1984"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12,01 (Томсккабель)</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9,71 (Сибкабель)</w:t>
            </w:r>
            <w:r/>
          </w:p>
        </w:tc>
        <w:tc>
          <w:tcPr>
            <w:tcBorders>
              <w:left w:val="single" w:color="000000" w:sz="4" w:space="0"/>
              <w:top w:val="single" w:color="000000" w:sz="4" w:space="0"/>
              <w:right w:val="single" w:color="000000" w:sz="4" w:space="0"/>
              <w:bottom w:val="single" w:color="000000" w:sz="4" w:space="0"/>
            </w:tcBorders>
            <w:tcW w:w="1531"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0,27 (86,6%)</w:t>
            </w:r>
            <w:r/>
          </w:p>
        </w:tc>
      </w:tr>
      <w:tr>
        <w:trPr>
          <w:jc w:val="center"/>
        </w:trPr>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Красноярский край</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(Красноярск)</w:t>
            </w:r>
            <w:r/>
          </w:p>
        </w:tc>
        <w:tc>
          <w:tcPr>
            <w:tcBorders>
              <w:left w:val="single" w:color="000000" w:sz="4" w:space="0"/>
              <w:top w:val="single" w:color="000000" w:sz="4" w:space="0"/>
              <w:right w:val="single" w:color="000000" w:sz="4" w:space="0"/>
              <w:bottom w:val="single" w:color="000000" w:sz="4" w:space="0"/>
            </w:tcBorders>
            <w:tcW w:w="124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181</w:t>
            </w:r>
            <w:r/>
          </w:p>
        </w:tc>
        <w:tc>
          <w:tcPr>
            <w:tcBorders>
              <w:left w:val="single" w:color="000000" w:sz="4" w:space="0"/>
              <w:top w:val="single" w:color="000000" w:sz="4" w:space="0"/>
              <w:right w:val="single" w:color="000000" w:sz="4" w:space="0"/>
              <w:bottom w:val="single" w:color="000000" w:sz="4" w:space="0"/>
            </w:tcBorders>
            <w:tcW w:w="116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20,7</w:t>
            </w:r>
            <w:r/>
          </w:p>
        </w:tc>
        <w:tc>
          <w:tcPr>
            <w:tcBorders>
              <w:left w:val="single" w:color="000000" w:sz="4" w:space="0"/>
              <w:top w:val="single" w:color="000000" w:sz="4" w:space="0"/>
              <w:right w:val="single" w:color="000000" w:sz="4" w:space="0"/>
              <w:bottom w:val="single" w:color="000000" w:sz="4" w:space="0"/>
            </w:tcBorders>
            <w:tcW w:w="1276"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2В</w:t>
            </w:r>
            <w:r/>
          </w:p>
        </w:tc>
        <w:tc>
          <w:tcPr>
            <w:tcBorders>
              <w:left w:val="single" w:color="000000" w:sz="4" w:space="0"/>
              <w:top w:val="single" w:color="000000" w:sz="4" w:space="0"/>
              <w:right w:val="single" w:color="000000" w:sz="4" w:space="0"/>
              <w:bottom w:val="single" w:color="000000" w:sz="4" w:space="0"/>
            </w:tcBorders>
            <w:tcW w:w="1984"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30,86 (Богучанская ГЭС)</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9,87 (Химико-металлургический завод)</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7,89 (Ачинский цемент)</w:t>
            </w:r>
            <w:r/>
          </w:p>
        </w:tc>
        <w:tc>
          <w:tcPr>
            <w:tcBorders>
              <w:left w:val="single" w:color="000000" w:sz="4" w:space="0"/>
              <w:top w:val="single" w:color="000000" w:sz="4" w:space="0"/>
              <w:right w:val="single" w:color="000000" w:sz="4" w:space="0"/>
              <w:bottom w:val="single" w:color="000000" w:sz="4" w:space="0"/>
            </w:tcBorders>
            <w:tcW w:w="1531"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5,82 (90,99%)</w:t>
            </w:r>
            <w:r/>
          </w:p>
        </w:tc>
      </w:tr>
      <w:tr>
        <w:trPr>
          <w:jc w:val="center"/>
        </w:trPr>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Новосибирская область</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(Новосибирск)</w:t>
            </w:r>
            <w:r/>
          </w:p>
        </w:tc>
        <w:tc>
          <w:tcPr>
            <w:tcBorders>
              <w:left w:val="single" w:color="000000" w:sz="4" w:space="0"/>
              <w:top w:val="single" w:color="000000" w:sz="4" w:space="0"/>
              <w:right w:val="single" w:color="000000" w:sz="4" w:space="0"/>
              <w:bottom w:val="single" w:color="000000" w:sz="4" w:space="0"/>
            </w:tcBorders>
            <w:tcW w:w="124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166</w:t>
            </w:r>
            <w:r/>
          </w:p>
        </w:tc>
        <w:tc>
          <w:tcPr>
            <w:tcBorders>
              <w:left w:val="single" w:color="000000" w:sz="4" w:space="0"/>
              <w:top w:val="single" w:color="000000" w:sz="4" w:space="0"/>
              <w:right w:val="single" w:color="000000" w:sz="4" w:space="0"/>
              <w:bottom w:val="single" w:color="000000" w:sz="4" w:space="0"/>
            </w:tcBorders>
            <w:tcW w:w="116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25,3</w:t>
            </w:r>
            <w:r/>
          </w:p>
        </w:tc>
        <w:tc>
          <w:tcPr>
            <w:tcBorders>
              <w:left w:val="single" w:color="000000" w:sz="4" w:space="0"/>
              <w:top w:val="single" w:color="000000" w:sz="4" w:space="0"/>
              <w:right w:val="single" w:color="000000" w:sz="4" w:space="0"/>
              <w:bottom w:val="single" w:color="000000" w:sz="4" w:space="0"/>
            </w:tcBorders>
            <w:tcW w:w="1276"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2В</w:t>
            </w:r>
            <w:r/>
          </w:p>
        </w:tc>
        <w:tc>
          <w:tcPr>
            <w:tcBorders>
              <w:left w:val="single" w:color="000000" w:sz="4" w:space="0"/>
              <w:top w:val="single" w:color="000000" w:sz="4" w:space="0"/>
              <w:right w:val="single" w:color="000000" w:sz="4" w:space="0"/>
              <w:bottom w:val="single" w:color="000000" w:sz="4" w:space="0"/>
            </w:tcBorders>
            <w:tcW w:w="1984"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12,32 (Новосибирский металлургический завод им. Кузьмина)</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8,18 (ЭПМ-Новосибирский электродный завод)</w:t>
            </w:r>
            <w:r/>
          </w:p>
        </w:tc>
        <w:tc>
          <w:tcPr>
            <w:tcBorders>
              <w:left w:val="single" w:color="000000" w:sz="4" w:space="0"/>
              <w:top w:val="single" w:color="000000" w:sz="4" w:space="0"/>
              <w:right w:val="single" w:color="000000" w:sz="4" w:space="0"/>
              <w:bottom w:val="single" w:color="000000" w:sz="4" w:space="0"/>
            </w:tcBorders>
            <w:tcW w:w="1531"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1,53 (52,27%)</w:t>
            </w:r>
            <w:r/>
          </w:p>
        </w:tc>
      </w:tr>
      <w:tr>
        <w:trPr>
          <w:jc w:val="center"/>
        </w:trPr>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Иркутская область</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(Иркутск)</w:t>
            </w:r>
            <w:r/>
          </w:p>
        </w:tc>
        <w:tc>
          <w:tcPr>
            <w:tcBorders>
              <w:left w:val="single" w:color="000000" w:sz="4" w:space="0"/>
              <w:top w:val="single" w:color="000000" w:sz="4" w:space="0"/>
              <w:right w:val="single" w:color="000000" w:sz="4" w:space="0"/>
              <w:bottom w:val="single" w:color="000000" w:sz="4" w:space="0"/>
            </w:tcBorders>
            <w:tcW w:w="124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182</w:t>
            </w:r>
            <w:r/>
          </w:p>
        </w:tc>
        <w:tc>
          <w:tcPr>
            <w:tcBorders>
              <w:left w:val="single" w:color="000000" w:sz="4" w:space="0"/>
              <w:top w:val="single" w:color="000000" w:sz="4" w:space="0"/>
              <w:right w:val="single" w:color="000000" w:sz="4" w:space="0"/>
              <w:bottom w:val="single" w:color="000000" w:sz="4" w:space="0"/>
            </w:tcBorders>
            <w:tcW w:w="116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-6,6</w:t>
            </w:r>
            <w:r/>
          </w:p>
        </w:tc>
        <w:tc>
          <w:tcPr>
            <w:tcBorders>
              <w:left w:val="single" w:color="000000" w:sz="4" w:space="0"/>
              <w:top w:val="single" w:color="000000" w:sz="4" w:space="0"/>
              <w:right w:val="single" w:color="000000" w:sz="4" w:space="0"/>
              <w:bottom w:val="single" w:color="000000" w:sz="4" w:space="0"/>
            </w:tcBorders>
            <w:tcW w:w="1276"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2В</w:t>
            </w:r>
            <w:r/>
          </w:p>
        </w:tc>
        <w:tc>
          <w:tcPr>
            <w:tcBorders>
              <w:left w:val="single" w:color="000000" w:sz="4" w:space="0"/>
              <w:top w:val="single" w:color="000000" w:sz="4" w:space="0"/>
              <w:right w:val="single" w:color="000000" w:sz="4" w:space="0"/>
              <w:bottom w:val="single" w:color="000000" w:sz="4" w:space="0"/>
            </w:tcBorders>
            <w:tcW w:w="1984"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23,45 (РУСАЛ Братский алюминиевый завод)</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8,59 (Высочайший)</w:t>
            </w:r>
            <w:r/>
          </w:p>
        </w:tc>
        <w:tc>
          <w:tcPr>
            <w:tcBorders>
              <w:left w:val="single" w:color="000000" w:sz="4" w:space="0"/>
              <w:top w:val="single" w:color="000000" w:sz="4" w:space="0"/>
              <w:right w:val="single" w:color="000000" w:sz="4" w:space="0"/>
              <w:bottom w:val="single" w:color="000000" w:sz="4" w:space="0"/>
            </w:tcBorders>
            <w:tcW w:w="1531"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3,89 (67,89%)</w:t>
            </w:r>
            <w:r/>
          </w:p>
        </w:tc>
      </w:tr>
      <w:tr>
        <w:trPr>
          <w:jc w:val="center"/>
        </w:trPr>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Кемеровская область</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(Кемерово)</w:t>
            </w:r>
            <w:r/>
          </w:p>
        </w:tc>
        <w:tc>
          <w:tcPr>
            <w:tcBorders>
              <w:left w:val="single" w:color="000000" w:sz="4" w:space="0"/>
              <w:top w:val="single" w:color="000000" w:sz="4" w:space="0"/>
              <w:right w:val="single" w:color="000000" w:sz="4" w:space="0"/>
              <w:bottom w:val="single" w:color="000000" w:sz="4" w:space="0"/>
            </w:tcBorders>
            <w:tcW w:w="124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181</w:t>
            </w:r>
            <w:r/>
          </w:p>
        </w:tc>
        <w:tc>
          <w:tcPr>
            <w:tcBorders>
              <w:left w:val="single" w:color="000000" w:sz="4" w:space="0"/>
              <w:top w:val="single" w:color="000000" w:sz="4" w:space="0"/>
              <w:right w:val="single" w:color="000000" w:sz="4" w:space="0"/>
              <w:bottom w:val="single" w:color="000000" w:sz="4" w:space="0"/>
            </w:tcBorders>
            <w:tcW w:w="116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8,1</w:t>
            </w:r>
            <w:r/>
          </w:p>
        </w:tc>
        <w:tc>
          <w:tcPr>
            <w:tcBorders>
              <w:left w:val="single" w:color="000000" w:sz="4" w:space="0"/>
              <w:top w:val="single" w:color="000000" w:sz="4" w:space="0"/>
              <w:right w:val="single" w:color="000000" w:sz="4" w:space="0"/>
              <w:bottom w:val="single" w:color="000000" w:sz="4" w:space="0"/>
            </w:tcBorders>
            <w:tcW w:w="1276"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2В</w:t>
            </w:r>
            <w:r/>
          </w:p>
        </w:tc>
        <w:tc>
          <w:tcPr>
            <w:tcBorders>
              <w:left w:val="single" w:color="000000" w:sz="4" w:space="0"/>
              <w:top w:val="single" w:color="000000" w:sz="4" w:space="0"/>
              <w:right w:val="single" w:color="000000" w:sz="4" w:space="0"/>
              <w:bottom w:val="single" w:color="000000" w:sz="4" w:space="0"/>
            </w:tcBorders>
            <w:tcW w:w="1984"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36,72 (Центральная обогатительная фабрика "Абашевская")</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16,99 (Кокс)</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16,43 (Междуречье)</w:t>
            </w:r>
            <w:r/>
          </w:p>
        </w:tc>
        <w:tc>
          <w:tcPr>
            <w:tcBorders>
              <w:left w:val="single" w:color="000000" w:sz="4" w:space="0"/>
              <w:top w:val="single" w:color="000000" w:sz="4" w:space="0"/>
              <w:right w:val="single" w:color="000000" w:sz="4" w:space="0"/>
              <w:bottom w:val="single" w:color="000000" w:sz="4" w:space="0"/>
            </w:tcBorders>
            <w:tcW w:w="1531"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3,11 (26,8%)</w:t>
            </w:r>
            <w:r/>
          </w:p>
        </w:tc>
      </w:tr>
      <w:tr>
        <w:trPr>
          <w:jc w:val="center"/>
        </w:trPr>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Омская область</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(Омск)</w:t>
            </w:r>
            <w:r/>
          </w:p>
        </w:tc>
        <w:tc>
          <w:tcPr>
            <w:tcBorders>
              <w:left w:val="single" w:color="000000" w:sz="4" w:space="0"/>
              <w:top w:val="single" w:color="000000" w:sz="4" w:space="0"/>
              <w:right w:val="single" w:color="000000" w:sz="4" w:space="0"/>
              <w:bottom w:val="single" w:color="000000" w:sz="4" w:space="0"/>
            </w:tcBorders>
            <w:tcW w:w="124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116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-24,2</w:t>
            </w:r>
            <w:r/>
          </w:p>
        </w:tc>
        <w:tc>
          <w:tcPr>
            <w:tcBorders>
              <w:left w:val="single" w:color="000000" w:sz="4" w:space="0"/>
              <w:top w:val="single" w:color="000000" w:sz="4" w:space="0"/>
              <w:right w:val="single" w:color="000000" w:sz="4" w:space="0"/>
              <w:bottom w:val="single" w:color="000000" w:sz="4" w:space="0"/>
            </w:tcBorders>
            <w:tcW w:w="1276"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3В1</w:t>
            </w:r>
            <w:r/>
          </w:p>
        </w:tc>
        <w:tc>
          <w:tcPr>
            <w:tcBorders>
              <w:left w:val="single" w:color="000000" w:sz="4" w:space="0"/>
              <w:top w:val="single" w:color="000000" w:sz="4" w:space="0"/>
              <w:right w:val="single" w:color="000000" w:sz="4" w:space="0"/>
              <w:bottom w:val="single" w:color="000000" w:sz="4" w:space="0"/>
            </w:tcBorders>
            <w:tcW w:w="1984"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3,98 (Омская макаронная фабрика)</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3,25 (Сатурн)</w:t>
            </w:r>
            <w:r/>
          </w:p>
        </w:tc>
        <w:tc>
          <w:tcPr>
            <w:tcBorders>
              <w:left w:val="single" w:color="000000" w:sz="4" w:space="0"/>
              <w:top w:val="single" w:color="000000" w:sz="4" w:space="0"/>
              <w:right w:val="single" w:color="000000" w:sz="4" w:space="0"/>
              <w:bottom w:val="single" w:color="000000" w:sz="4" w:space="0"/>
            </w:tcBorders>
            <w:tcW w:w="1531"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0,74 (97,61%)</w:t>
            </w:r>
            <w:r/>
          </w:p>
        </w:tc>
      </w:tr>
      <w:tr>
        <w:trPr>
          <w:jc w:val="center"/>
        </w:trPr>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Алтайский край</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(Барнаул)</w:t>
            </w:r>
            <w:r/>
          </w:p>
        </w:tc>
        <w:tc>
          <w:tcPr>
            <w:tcBorders>
              <w:left w:val="single" w:color="000000" w:sz="4" w:space="0"/>
              <w:top w:val="single" w:color="000000" w:sz="4" w:space="0"/>
              <w:right w:val="single" w:color="000000" w:sz="4" w:space="0"/>
              <w:bottom w:val="single" w:color="000000" w:sz="4" w:space="0"/>
            </w:tcBorders>
            <w:tcW w:w="124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182</w:t>
            </w:r>
            <w:r/>
          </w:p>
        </w:tc>
        <w:tc>
          <w:tcPr>
            <w:tcBorders>
              <w:left w:val="single" w:color="000000" w:sz="4" w:space="0"/>
              <w:top w:val="single" w:color="000000" w:sz="4" w:space="0"/>
              <w:right w:val="single" w:color="000000" w:sz="4" w:space="0"/>
              <w:bottom w:val="single" w:color="000000" w:sz="4" w:space="0"/>
            </w:tcBorders>
            <w:tcW w:w="1165"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w:t>
            </w:r>
            <w:r/>
          </w:p>
        </w:tc>
        <w:tc>
          <w:tcPr>
            <w:tcBorders>
              <w:left w:val="single" w:color="000000" w:sz="4" w:space="0"/>
              <w:top w:val="single" w:color="000000" w:sz="4" w:space="0"/>
              <w:right w:val="single" w:color="000000" w:sz="4" w:space="0"/>
              <w:bottom w:val="single" w:color="000000" w:sz="4" w:space="0"/>
            </w:tcBorders>
            <w:tcW w:w="1276"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3В1</w:t>
            </w:r>
            <w:r/>
          </w:p>
        </w:tc>
        <w:tc>
          <w:tcPr>
            <w:tcBorders>
              <w:left w:val="single" w:color="000000" w:sz="4" w:space="0"/>
              <w:top w:val="single" w:color="000000" w:sz="4" w:space="0"/>
              <w:right w:val="single" w:color="000000" w:sz="4" w:space="0"/>
              <w:bottom w:val="single" w:color="000000" w:sz="4" w:space="0"/>
            </w:tcBorders>
            <w:tcW w:w="1984"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3,42 (Алтайские макароны)</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2,74 (Рукав)</w:t>
            </w:r>
            <w:r/>
          </w:p>
        </w:tc>
        <w:tc>
          <w:tcPr>
            <w:tcBorders>
              <w:left w:val="single" w:color="000000" w:sz="4" w:space="0"/>
              <w:top w:val="single" w:color="000000" w:sz="4" w:space="0"/>
              <w:right w:val="single" w:color="000000" w:sz="4" w:space="0"/>
              <w:bottom w:val="single" w:color="000000" w:sz="4" w:space="0"/>
            </w:tcBorders>
            <w:tcW w:w="1531"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0,80 (83,96%)</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Рассмотренные факторы - вызовы, возможности, ограничения в целом определяют направления развития Томской области до 2030 года и обуславливают необходимость корректировки и дополнения стратегических целей и задач, зафиксированных в Стратегии-2015.</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5. МИССИЯ, ПРИОРИТЕТЫ, ЦЕЛИ И ЗАДАЧИ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СОЦИАЛЬНО-ЭКОНОМИЧЕСКОГО РАЗВИТИЯ ТОМСКОЙ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ОБЛАСТИ НА ПЕРИОД ДО 2030 ГОДА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Миссия Томской области - обеспечение лучшего качества жизни в Сибири за счет реализации модели интенсивного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ситуации изменчивости макроэкономических условий, повышения требований к эпидемиологической безопасности общества, сохранения конъюнктурной зависимости ресурсного сектора и длительного восстановительного посткризисного перио</w:t>
      </w:r>
      <w:r>
        <w:rPr>
          <w:rFonts w:ascii="Arial" w:hAnsi="Arial" w:cs="Arial" w:eastAsia="Arial"/>
          <w:sz w:val="20"/>
          <w:szCs w:val="20"/>
          <w:lang w:val="ru-RU" w:bidi="ru-RU"/>
        </w:rPr>
        <w:t xml:space="preserve">да до 2030 года обеспечение миссии Томской области возможно посредством реализации стратегических приоритетов социально-экономического развития в структуре национальных целей развития Российской Федерации до 2030 года и ориентации на благополучие человека.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Приоритеты социально-экономического развития Томской области определяются национальными целями развития Российской Федерации до 2030 года, ориентированы на позитивные изменения в качестве жизни каждого гражданина,</w:t>
      </w:r>
      <w:r>
        <w:rPr>
          <w:rFonts w:ascii="Arial" w:hAnsi="Arial" w:cs="Arial" w:eastAsia="Arial"/>
          <w:sz w:val="20"/>
          <w:szCs w:val="20"/>
          <w:lang w:val="ru-RU" w:bidi="ru-RU"/>
        </w:rPr>
        <w:t xml:space="preserve"> проживающего в Томской области, и имеют сквозной характер - реализуются в каждой цели и задаче социально-экономического развития региона. Приоритеты социально-экономического развития сформулированы как ключевые направления стратегической кооперации регион</w:t>
      </w:r>
      <w:r>
        <w:rPr>
          <w:rFonts w:ascii="Arial" w:hAnsi="Arial" w:cs="Arial" w:eastAsia="Arial"/>
          <w:sz w:val="20"/>
          <w:szCs w:val="20"/>
          <w:lang w:val="ru-RU" w:bidi="ru-RU"/>
        </w:rPr>
        <w:t xml:space="preserve">альных органов исполнительной власти Томской области, организаций реального сектора экономики, образовательных организаций высшего образования, научных организаций и общества, предполагающие взаимную ответственность и координацию действий по их реализации.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Приоритеты социально-экономического развития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Направить стратегические проекты на благополучие и качество жизни каждого жителя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Построить инфраструктуру цифрового общества.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Обеспечить развитие глобально значимого технологического центра с высокомаржинальными продуктовыми и сервисными специализациями.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4. Трансформировать промышленность по структуре в сторону обрабатывающего сектора с высокой производительностью труда, встроенного в производственно-технологические платформы Российской Федерации и стран-партнеров.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Инициировать создание институтов регионального и международного сетевого партнерства для трансформации экономики и занятости.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6. Сформировать условия для самореализации жителей всех возрастов, развития новых профессий и креативных индустрий.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Каждый приоритет задает фокус и формирует образ будущего Томской области в горизонте 2030 года с акцентом на позитивные изменения в качестве жизни жителей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 "Направить стратегические проекты на благополучие и качество жизни каждого жителя региона"</w:t>
      </w:r>
      <w:r/>
    </w:p>
    <w:p>
      <w:pPr>
        <w:pStyle w:val="808"/>
        <w:ind w:left="0" w:right="0" w:firstLine="540"/>
        <w:jc w:val="both"/>
        <w:spacing w:lineRule="auto" w:line="240" w:after="0" w:before="200"/>
        <w:rPr>
          <w:rFonts w:ascii="Arial" w:hAnsi="Arial" w:cs="Arial" w:eastAsia="Arial"/>
          <w:sz w:val="20"/>
          <w:szCs w:val="20"/>
          <w:lang w:val="ru-RU" w:bidi="ru-RU"/>
        </w:rPr>
      </w:pPr>
      <w:r/>
      <w:hyperlink r:id="rId43" w:tooltip="consultantplus://offline/ref=9ACAA89C6FF58C33776267CAD8136869748F9FFE21E8B854C524F083A7349DB9F4BFD35783C73F15E4AF5B38355Cs4I" w:history="1">
        <w:r>
          <w:rPr>
            <w:rFonts w:ascii="Arial" w:hAnsi="Arial" w:cs="Arial" w:eastAsia="Arial"/>
            <w:color w:val="0000FF"/>
            <w:sz w:val="20"/>
            <w:szCs w:val="20"/>
            <w:lang w:val="ru-RU" w:bidi="ru-RU"/>
          </w:rPr>
          <w:t xml:space="preserve">Указом</w:t>
        </w:r>
      </w:hyperlink>
      <w:r>
        <w:rPr>
          <w:rFonts w:ascii="Arial" w:hAnsi="Arial" w:cs="Arial" w:eastAsia="Arial"/>
          <w:sz w:val="20"/>
          <w:szCs w:val="20"/>
          <w:lang w:val="ru-RU" w:bidi="ru-RU"/>
        </w:rPr>
        <w:t xml:space="preserve"> Президента Российской Федерации от 21 июля 20</w:t>
      </w:r>
      <w:r>
        <w:rPr>
          <w:rFonts w:ascii="Arial" w:hAnsi="Arial" w:cs="Arial" w:eastAsia="Arial"/>
          <w:sz w:val="20"/>
          <w:szCs w:val="20"/>
          <w:lang w:val="ru-RU" w:bidi="ru-RU"/>
        </w:rPr>
        <w:t xml:space="preserve">20 г. N 474 "О национальных целях развития Российской Федерации на период до 2030 года" зафиксированы пять национальных целей развития Российской Федерации, единым фокусом которых является каждый человек - запросы и интересы жителей в независимости от терр</w:t>
      </w:r>
      <w:r>
        <w:rPr>
          <w:rFonts w:ascii="Arial" w:hAnsi="Arial" w:cs="Arial" w:eastAsia="Arial"/>
          <w:sz w:val="20"/>
          <w:szCs w:val="20"/>
          <w:lang w:val="ru-RU" w:bidi="ru-RU"/>
        </w:rPr>
        <w:t xml:space="preserve">итории проживания. Увеличение продолжительности жизни, повышение уровня жизни граждан, создание комфортных условий для их проживания, возможностей для самореализации и развития талантов - ключевые цели стратегического развития страны в период до 2030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Стратегия ориентирована на достижение плановых значений целевых показателей по всем национальным целям развития Российской Федераци</w:t>
      </w:r>
      <w:r>
        <w:rPr>
          <w:rFonts w:ascii="Arial" w:hAnsi="Arial" w:cs="Arial" w:eastAsia="Arial"/>
          <w:sz w:val="20"/>
          <w:szCs w:val="20"/>
          <w:lang w:val="ru-RU" w:bidi="ru-RU"/>
        </w:rPr>
        <w:t xml:space="preserve">и. Для Томской области безусловный приоритет - позитивные изменения в жизни каждого жителя региона, создание среды для комфортной и безопасной жизни, отдыха и работы, получения качественных социальных услуг, реализации профессионального и творческого потен</w:t>
      </w:r>
      <w:r>
        <w:rPr>
          <w:rFonts w:ascii="Arial" w:hAnsi="Arial" w:cs="Arial" w:eastAsia="Arial"/>
          <w:sz w:val="20"/>
          <w:szCs w:val="20"/>
          <w:lang w:val="ru-RU" w:bidi="ru-RU"/>
        </w:rPr>
        <w:t xml:space="preserve">циала жителей всех возрастов. Зафиксированные в Стратегии приоритеты и связанные с ними проекты и конкретные мероприятия образуют единую систему скоординированных действий и механизмов, сфокусированных на благополучии и достойной жизнедеятельности граждан.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 2030 году Томская область станет регионом с высоким уровнем доступности качественных социальных услуг для жителей всех категорий и возрастов. Реализация приоритета напрямую зависит от т</w:t>
      </w:r>
      <w:r>
        <w:rPr>
          <w:rFonts w:ascii="Arial" w:hAnsi="Arial" w:cs="Arial" w:eastAsia="Arial"/>
          <w:sz w:val="20"/>
          <w:szCs w:val="20"/>
          <w:lang w:val="ru-RU" w:bidi="ru-RU"/>
        </w:rPr>
        <w:t xml:space="preserve">емпов цифровизации секторов услуг, наиболее сильно влияющих на качество жизни. Высокий уровень качества жизни позволит сохранять и привлекать человеческий капитал на территорию региона и положительно скажется на росте численности населения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 "Построить инфраструктуру цифрового общества"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горизонте 2030 года отраслями социальной сферы, включая здравоохранение, образование, </w:t>
      </w:r>
      <w:r>
        <w:rPr>
          <w:rFonts w:ascii="Arial" w:hAnsi="Arial" w:cs="Arial" w:eastAsia="Arial"/>
          <w:sz w:val="20"/>
          <w:szCs w:val="20"/>
          <w:lang w:val="ru-RU" w:bidi="ru-RU"/>
        </w:rPr>
        <w:t xml:space="preserve">культуру, городское и жилищно-коммунальное хозяйство и др., будет достигнута "цифровая зрелость", каждое домохозяйство Томской области будет иметь широкополосный доступ к сети "Интернет". Коллективные, индивидуальные запросы жителей станут ключевым фокусом</w:t>
      </w:r>
      <w:r>
        <w:rPr>
          <w:rFonts w:ascii="Arial" w:hAnsi="Arial" w:cs="Arial" w:eastAsia="Arial"/>
          <w:sz w:val="20"/>
          <w:szCs w:val="20"/>
          <w:lang w:val="ru-RU" w:bidi="ru-RU"/>
        </w:rPr>
        <w:t xml:space="preserve"> развития цифровых сервисов и платформ. Томская область будет стремиться к созданию условий, в которых муниципальные образования и их жители будут в равной степени с жителями томской агломерации иметь доступ к получению всех видов услуг в электронном виде.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 "Обеспечить развитие глобально значимого технологического центра с высокомаржинальными продуктовыми и сервисными специализациями"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 2030 году Томская область станет глобально значимым технологическим центром с высокомаржинальными продуктовы</w:t>
      </w:r>
      <w:r>
        <w:rPr>
          <w:rFonts w:ascii="Arial" w:hAnsi="Arial" w:cs="Arial" w:eastAsia="Arial"/>
          <w:sz w:val="20"/>
          <w:szCs w:val="20"/>
          <w:lang w:val="ru-RU" w:bidi="ru-RU"/>
        </w:rPr>
        <w:t xml:space="preserve">ми и сервисными специализациями. Развитие новых специализаций позволит осуществить процесс перезапуска экономики и получения новых системных эффектов, ориентируя организации на создание конкурентоспособных продуктов на новых российских и глобальных рынках.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Обновление технологической базы, развитие производственного, исследовательского потенциала Томской области, создание </w:t>
      </w:r>
      <w:r>
        <w:rPr>
          <w:rFonts w:ascii="Arial" w:hAnsi="Arial" w:cs="Arial" w:eastAsia="Arial"/>
          <w:sz w:val="20"/>
          <w:szCs w:val="20"/>
          <w:lang w:val="ru-RU" w:bidi="ru-RU"/>
        </w:rPr>
        <w:t xml:space="preserve">новых высокопроизводительных рабочих мест - ключевые сопроводительные процессы развития технологического центра. Необходимо развернуть работающие институты трансфера знаний в экономику, изменение самого способа деятельности регионального научного кластера.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данного приоритета повлечет за собой рост инвестиционной активности регионального бизнеса и повысит инвестиционную прив</w:t>
      </w:r>
      <w:r>
        <w:rPr>
          <w:rFonts w:ascii="Arial" w:hAnsi="Arial" w:cs="Arial" w:eastAsia="Arial"/>
          <w:sz w:val="20"/>
          <w:szCs w:val="20"/>
          <w:lang w:val="ru-RU" w:bidi="ru-RU"/>
        </w:rPr>
        <w:t xml:space="preserve">лекательность области. Для жителей Томской области это означает внесение позитивных изменений в процессы жизнедеятельности: создание дополнительных возможностей для реализации профессионального потенциала на новых рабочих местах и повышение качества жизни.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 "Трансформировать промышленность по структуре в сторону обрабатывающего сектора с высокой производительностью труда, встроенного в производственно-технологические платформы Российской Федерации и стран-партнеров"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Традиционные для региона промышленные сектора экономики увеличат цепочку переделов выпускаемой продукции, будет реализовано инфраструктурное оснащение и</w:t>
      </w:r>
      <w:r>
        <w:rPr>
          <w:rFonts w:ascii="Arial" w:hAnsi="Arial" w:cs="Arial" w:eastAsia="Arial"/>
          <w:sz w:val="20"/>
          <w:szCs w:val="20"/>
          <w:lang w:val="ru-RU" w:bidi="ru-RU"/>
        </w:rPr>
        <w:t xml:space="preserve"> обновление технологической базы, смена структуры занятости в промышленном секторе в пользу более технологичных и высокопроизводительных рабочих мест. Промышленные предприятия региона будут встроены в производственно-технологические платформы Российской Фе</w:t>
      </w:r>
      <w:r>
        <w:rPr>
          <w:rFonts w:ascii="Arial" w:hAnsi="Arial" w:cs="Arial" w:eastAsia="Arial"/>
          <w:sz w:val="20"/>
          <w:szCs w:val="20"/>
          <w:lang w:val="ru-RU" w:bidi="ru-RU"/>
        </w:rPr>
        <w:t xml:space="preserve">дерации и стран-партнеров с продукцией высоких переделов. Томская область станет значимым участником в производственных цепочках создания сложной российской продукции, независимых от иностранных экономик по технологиям, сервисам, компетенциям и материалам.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Трансформация промышленности и технологическое развитие обеспечит увеличение производительности труда, рост инвестиций, создание новых высокопроизводительных рабочих мест и достойных условий труда для применения профессио</w:t>
      </w:r>
      <w:r>
        <w:rPr>
          <w:rFonts w:ascii="Arial" w:hAnsi="Arial" w:cs="Arial" w:eastAsia="Arial"/>
          <w:sz w:val="20"/>
          <w:szCs w:val="20"/>
          <w:lang w:val="ru-RU" w:bidi="ru-RU"/>
        </w:rPr>
        <w:t xml:space="preserve">нальных компетенций жителей Томской области. Указанные результаты будут достигнуты за счет вовлечения технологических заделов и внедрения на производствах цифровых сервисов, "умных" систем управления, реализации программ повышения производительности труда.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Ключевым станет создание и развитие промышленных кластеров. Для этого потребуется осуществить переход на следующий этап кластерной политики: </w:t>
      </w:r>
      <w:r>
        <w:rPr>
          <w:rFonts w:ascii="Arial" w:hAnsi="Arial" w:cs="Arial" w:eastAsia="Arial"/>
          <w:sz w:val="20"/>
          <w:szCs w:val="20"/>
          <w:lang w:val="ru-RU" w:bidi="ru-RU"/>
        </w:rPr>
        <w:t xml:space="preserve">от общей организации деятельности кластеров и организационного обучения к реальной бизнес-кооперации для решения общих задач развития региона. Ставка будет сделана на рост высокотехнологичных индустрий. Целесообразно формирование межрегиональных кластеров.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 "Инициировать создание институтов регионального и международного сетевого партнерства для трансформации экономики и занятости"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Выстраивая горизонт</w:t>
      </w:r>
      <w:r>
        <w:rPr>
          <w:rFonts w:ascii="Arial" w:hAnsi="Arial" w:cs="Arial" w:eastAsia="Arial"/>
          <w:sz w:val="20"/>
          <w:szCs w:val="20"/>
          <w:lang w:val="ru-RU" w:bidi="ru-RU"/>
        </w:rPr>
        <w:t xml:space="preserve">альную сетевую среду, регион формирует открытые и прозрачные системы диалога государства, бизнеса и общества. На базе сильных партнерств сохранит актуальность принимаемых решений и реализуемых проектов в быстро меняющейся внешней среде, реализует в новых и</w:t>
      </w:r>
      <w:r>
        <w:rPr>
          <w:rFonts w:ascii="Arial" w:hAnsi="Arial" w:cs="Arial" w:eastAsia="Arial"/>
          <w:sz w:val="20"/>
          <w:szCs w:val="20"/>
          <w:lang w:val="ru-RU" w:bidi="ru-RU"/>
        </w:rPr>
        <w:t xml:space="preserve"> экспериментальных форматах ключевые задачи и инициативы в сфере экономической и социальной трансформации, в качестве надежного партнера Томская область примет активное участие в новых межрегиональных инициативах развития Южно-Сибирского макрорегиона &lt;18&gt;.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&lt;18&gt; Южно-Сибирский макрорегион определен </w:t>
      </w:r>
      <w:hyperlink r:id="rId44" w:tooltip="consultantplus://offline/ref=9ACAA89C6FF58C33776267CAD8136869748298F325EFB854C524F083A7349DB9E6BF8B5B80C72115EABA0D6973903742AEDF25DA257EB02352s0I" w:history="1">
        <w:r>
          <w:rPr>
            <w:rFonts w:ascii="Arial" w:hAnsi="Arial" w:cs="Arial" w:eastAsia="Arial"/>
            <w:color w:val="0000FF"/>
            <w:sz w:val="20"/>
            <w:szCs w:val="20"/>
            <w:lang w:val="ru-RU" w:bidi="ru-RU"/>
          </w:rPr>
          <w:t xml:space="preserve">Стратегией</w:t>
        </w:r>
      </w:hyperlink>
      <w:r>
        <w:rPr>
          <w:rFonts w:ascii="Arial" w:hAnsi="Arial" w:cs="Arial" w:eastAsia="Arial"/>
          <w:sz w:val="20"/>
          <w:szCs w:val="20"/>
          <w:lang w:val="ru-RU" w:bidi="ru-RU"/>
        </w:rPr>
        <w:t xml:space="preserve"> простр</w:t>
      </w:r>
      <w:r>
        <w:rPr>
          <w:rFonts w:ascii="Arial" w:hAnsi="Arial" w:cs="Arial" w:eastAsia="Arial"/>
          <w:sz w:val="20"/>
          <w:szCs w:val="20"/>
          <w:lang w:val="ru-RU" w:bidi="ru-RU"/>
        </w:rPr>
        <w:t xml:space="preserve">анственного развития Российской Федерации на период до 2025 года и включает в себя Томскую, Новосибирскую, Омскую, Кемеровскую области, Алтайский край и Республику Алтай. На текущий момент осуществляется разработка стратегий макрорегионов в соответствии с </w:t>
      </w:r>
      <w:hyperlink r:id="rId45" w:tooltip="consultantplus://offline/ref=9ACAA89C6FF58C33776267CAD813686974899BF221ECB854C524F083A7349DB9F4BFD35783C73F15E4AF5B38355Cs4I" w:history="1">
        <w:r>
          <w:rPr>
            <w:rFonts w:ascii="Arial" w:hAnsi="Arial" w:cs="Arial" w:eastAsia="Arial"/>
            <w:color w:val="0000FF"/>
            <w:sz w:val="20"/>
            <w:szCs w:val="20"/>
            <w:lang w:val="ru-RU" w:bidi="ru-RU"/>
          </w:rPr>
          <w:t xml:space="preserve">Постановлением</w:t>
        </w:r>
      </w:hyperlink>
      <w:r>
        <w:rPr>
          <w:rFonts w:ascii="Arial" w:hAnsi="Arial" w:cs="Arial" w:eastAsia="Arial"/>
          <w:sz w:val="20"/>
          <w:szCs w:val="20"/>
          <w:lang w:val="ru-RU" w:bidi="ru-RU"/>
        </w:rPr>
        <w:t xml:space="preserve"> Правительства Российской Федерации от 8 августа 2015 года N 822 "Об утверждении положения о содержании, составе, порядке разработки и корректировки стратегий социально-экономического развития макрорегионов".</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 целью привлечения средств федерального бюджета Томская область реализует мероприятия и приоритетные инфраструктурные проекты Концепции создания в Томской области инновационного территориального центра "ИНО Томск", а также примет участие в инвестици</w:t>
      </w:r>
      <w:r>
        <w:rPr>
          <w:rFonts w:ascii="Arial" w:hAnsi="Arial" w:cs="Arial" w:eastAsia="Arial"/>
          <w:sz w:val="20"/>
          <w:szCs w:val="20"/>
          <w:lang w:val="ru-RU" w:bidi="ru-RU"/>
        </w:rPr>
        <w:t xml:space="preserve">онных проектах, имеющих федеральное и межрегиональное значение, в частности - создание Научно-образовательного центра мирового уровня, реализация проекта "Большой университет Томска", создание Межуниверситетского многофункционального студенческого кампуса.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w:t>
      </w:r>
      <w:r>
        <w:rPr>
          <w:rFonts w:ascii="Arial" w:hAnsi="Arial" w:cs="Arial" w:eastAsia="Arial"/>
          <w:sz w:val="20"/>
          <w:szCs w:val="20"/>
          <w:lang w:val="ru-RU" w:bidi="ru-RU"/>
        </w:rPr>
        <w:t xml:space="preserve">ласть создаст условия для роста межрегиональной мобильности капитала, кадров, технологий. Обеспечит вклад в создание новых отраслей и территориальных кластеров, освоение новых территорий, решение системных задач социального и культурного развития страны. С</w:t>
      </w:r>
      <w:r>
        <w:rPr>
          <w:rFonts w:ascii="Arial" w:hAnsi="Arial" w:cs="Arial" w:eastAsia="Arial"/>
          <w:sz w:val="20"/>
          <w:szCs w:val="20"/>
          <w:lang w:val="ru-RU" w:bidi="ru-RU"/>
        </w:rPr>
        <w:t xml:space="preserve">оздаст систему деловой и технологической кооперации с активно развивающимися научно-образовательными центрами, крупнейшими мегаполисами и центрами перспективного экономического роста, выделенными в Стратегии пространственного развития Российской Федерации.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 "Сформировать условия для самореализации жителей всех возрастов, развития новых профессий и креативных индустрий"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 территория, где каждый житель может воспользоваться созданными условиями для профессиональной и </w:t>
      </w:r>
      <w:r>
        <w:rPr>
          <w:rFonts w:ascii="Arial" w:hAnsi="Arial" w:cs="Arial" w:eastAsia="Arial"/>
          <w:sz w:val="20"/>
          <w:szCs w:val="20"/>
          <w:lang w:val="ru-RU" w:bidi="ru-RU"/>
        </w:rPr>
        <w:t xml:space="preserve">творческой самореализации, освоить новые профессии и высокодоходные виды деятельности. Созданные в Томской области условия для самореализации жителей всех возрастов обеспечат к 2030 году вхождение в число регионов-лидеров с открытой образовательной средой.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кон</w:t>
      </w:r>
      <w:r>
        <w:rPr>
          <w:rFonts w:ascii="Arial" w:hAnsi="Arial" w:cs="Arial" w:eastAsia="Arial"/>
          <w:sz w:val="20"/>
          <w:szCs w:val="20"/>
          <w:lang w:val="ru-RU" w:bidi="ru-RU"/>
        </w:rPr>
        <w:t xml:space="preserve">курирует с соседними регионами Сибири за наиболее квалифицированные ресурсы, что ставит перед регионом задачу по формированию собственного уникального образа привлекательности для креативного класса молодых профессионалов, отличного от других регионов СФО.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Креативные (творческие) индустрии станут пространством для реализации инициатив и создания новых высокопроизводительных рабочих мест и профессий, привлечения инвестиций в создание качественной и разнообразной городской среды, </w:t>
      </w:r>
      <w:r>
        <w:rPr>
          <w:rFonts w:ascii="Arial" w:hAnsi="Arial" w:cs="Arial" w:eastAsia="Arial"/>
          <w:sz w:val="20"/>
          <w:szCs w:val="20"/>
          <w:lang w:val="ru-RU" w:bidi="ru-RU"/>
        </w:rPr>
        <w:t xml:space="preserve">формирования пакетов новых для жителей Томской области видов услуг, формирования возможностей и условий для реализации творческого потенциала граждан. Жители смогут влиять на облик городского пространства, задавать вектор культурного и городского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Концепция </w:t>
      </w:r>
      <w:r>
        <w:rPr>
          <w:rFonts w:ascii="Arial" w:hAnsi="Arial" w:cs="Arial" w:eastAsia="Arial"/>
          <w:sz w:val="20"/>
          <w:szCs w:val="20"/>
          <w:lang w:val="ru-RU" w:bidi="ru-RU"/>
        </w:rPr>
        <w:t xml:space="preserve">создания в Томской области инновационного территориального центра "ИНО Томск" до 2025 года и на перспективу до 2030 года является ядром настоящей Стратегии, будет обновлена и реализована в соответствии с каждым из указанных приоритетов. Концепция объединяе</w:t>
      </w:r>
      <w:r>
        <w:rPr>
          <w:rFonts w:ascii="Arial" w:hAnsi="Arial" w:cs="Arial" w:eastAsia="Arial"/>
          <w:sz w:val="20"/>
          <w:szCs w:val="20"/>
          <w:lang w:val="ru-RU" w:bidi="ru-RU"/>
        </w:rPr>
        <w:t xml:space="preserve">т наиболее передовые мероприятия, предусмотренные целями и задачами настоящей Стратегии, по которым Томская область может обеспечить достижение целевых показателей, отражающих позитивные изменения в качестве жизни граждан, на уровне выше среднероссийского.</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Целевой образ Томской области.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Корректировка целей и задач Стратегии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Целевой образ Томской области в 2030 году - конкурентоспособный регион с устойчивой, экологически чистой, основанной на высоких промышленных переделах, капитализации знаний и благополучии человека открытой развивающей экономической средой.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Ключевые характеристики целевого состояния: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 сфере решения задач сохранения населения, здоровья и благополучия жителей Томская область является территорией доступного здорового образа жизни, вне зависимости от возраста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 сфере обеспечения возможностей для самореализации и развития талантов Томская область является одной из ведущих в России открытой образовательной средой, международно признанным образовательным центром для жителей всех возрастов;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 сфере создания комфортной и безопасной среды для жизни Томская область является современным, культурным, экологически чистым регионом с высоким качеством жизни и высокой социа</w:t>
      </w:r>
      <w:r>
        <w:rPr>
          <w:rFonts w:ascii="Arial" w:hAnsi="Arial" w:cs="Arial" w:eastAsia="Arial"/>
          <w:sz w:val="20"/>
          <w:szCs w:val="20"/>
          <w:lang w:val="ru-RU" w:bidi="ru-RU"/>
        </w:rPr>
        <w:t xml:space="preserve">льной мобильностью, центром притяжения исследователей, инженеров, разработчиков и ИТ-специалистов, а также одним из лидеров на национальном уровне по сокращению выбросов парниковых газов, обеспечивающих стабильную экологическую среду для будущих поколений;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 сфере обеспечения гражданам достойного, эффективного труда и условий для успешного </w:t>
      </w:r>
      <w:r>
        <w:rPr>
          <w:rFonts w:ascii="Arial" w:hAnsi="Arial" w:cs="Arial" w:eastAsia="Arial"/>
          <w:sz w:val="20"/>
          <w:szCs w:val="20"/>
          <w:lang w:val="ru-RU" w:bidi="ru-RU"/>
        </w:rPr>
        <w:t xml:space="preserve">предпринимательства Томская область обладает институциональными условиями для "бесшовной" смены профессий и трансформации структуры занятости в пользу высокодоходных видов деятельности, доступных для всех жителей, вовлеченных в системы обучения и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 рамках реализации национальной цели "цифровая тр</w:t>
      </w:r>
      <w:r>
        <w:rPr>
          <w:rFonts w:ascii="Arial" w:hAnsi="Arial" w:cs="Arial" w:eastAsia="Arial"/>
          <w:sz w:val="20"/>
          <w:szCs w:val="20"/>
          <w:lang w:val="ru-RU" w:bidi="ru-RU"/>
        </w:rPr>
        <w:t xml:space="preserve">ансформация" Томская область является одним из лидирующих регионов, создающим "умные" системы сервисов для жителей и обеспечивающим переход систем жизнеобеспечения, производственных систем и ключевых секторов экономики на высокий уровень цифровой зрелости.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миссии, цел</w:t>
      </w:r>
      <w:r>
        <w:rPr>
          <w:rFonts w:ascii="Arial" w:hAnsi="Arial" w:cs="Arial" w:eastAsia="Arial"/>
          <w:sz w:val="20"/>
          <w:szCs w:val="20"/>
          <w:lang w:val="ru-RU" w:bidi="ru-RU"/>
        </w:rPr>
        <w:t xml:space="preserve">евой модели и приоритетов развития региона требует мобилизации усилий, скоординированных мер на региональном, муниципальном и отраслевом уровне для повышения вклада Томской области в достижение национальных целей развития Российской Федерации до 2030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первого этапа реализации Стратегии-2015 в Томской области была создана эффективная система управления по модели "цели - задачи - показатели развития", в соответствии с которо</w:t>
      </w:r>
      <w:r>
        <w:rPr>
          <w:rFonts w:ascii="Arial" w:hAnsi="Arial" w:cs="Arial" w:eastAsia="Arial"/>
          <w:sz w:val="20"/>
          <w:szCs w:val="20"/>
          <w:lang w:val="ru-RU" w:bidi="ru-RU"/>
        </w:rPr>
        <w:t xml:space="preserve">й осуществляется региональное стратегическое управление, учет показателей эффективности, распределены зоны ответственности заместителей Губернатора Томской области в структуре региональных органов исполнительной власти, реализуются муниципальные стратегии.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Актуализированная Стратегия предусматривает сохранение действующей на региональном уровне системы целеполагания. Наряду с этим, существенно будет дополнен п</w:t>
      </w:r>
      <w:r>
        <w:rPr>
          <w:rFonts w:ascii="Arial" w:hAnsi="Arial" w:cs="Arial" w:eastAsia="Arial"/>
          <w:sz w:val="20"/>
          <w:szCs w:val="20"/>
          <w:lang w:val="ru-RU" w:bidi="ru-RU"/>
        </w:rPr>
        <w:t xml:space="preserve">акет стратегических мер на уровне подзадач, приоритетных проектов и мероприятий, которые, с одной стороны, обеспечат достижение целей социально-экономического развития в новых условиях, с учетом достигнутых в период 2014 - 2020 годов показателей, с другой,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позволят сформировать новые направления действий с учетом вызовов, возможностей и ограничений, появившихся в условиях радикальных изменений 2020 года, а также прогнозов изменения макроэкономической ситуации до 2030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 отношению к Стратегии-2015 актуализированная Стратегия существенно повышает ориентированность стратегических мер на</w:t>
      </w:r>
      <w:r>
        <w:rPr>
          <w:rFonts w:ascii="Arial" w:hAnsi="Arial" w:cs="Arial" w:eastAsia="Arial"/>
          <w:sz w:val="20"/>
          <w:szCs w:val="20"/>
          <w:lang w:val="ru-RU" w:bidi="ru-RU"/>
        </w:rPr>
        <w:t xml:space="preserve"> динамичное развитие реального сектора экономики, позитивные изменения качества жизни человека, детализирует задачи, связанные с созданием условий и возможностей самореализации, расширения доступа к качественной занятости в формирующемся цифровом обществе.</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Система целей и задач социально-экономического развития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Томской области на период 2021 - 2030 гг.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1.1. Обеспечить развитие промышленности в Томской области посредством модернизации системообразующих секторов и создания новых промышленных кластеров.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1.2. Обеспечить развитие предпринимательства и рост непроизводственных индустрий с фокусом на индустрию гостеприимства и креативный сектор.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1.3. Сформировать технологическое я</w:t>
      </w:r>
      <w:r>
        <w:rPr>
          <w:rFonts w:ascii="Arial" w:hAnsi="Arial" w:cs="Arial" w:eastAsia="Arial"/>
          <w:sz w:val="20"/>
          <w:szCs w:val="20"/>
          <w:lang w:val="ru-RU" w:bidi="ru-RU"/>
        </w:rPr>
        <w:t xml:space="preserve">дро новой отраслевой специализации Томской области, обеспечить развитие высокотехнологических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 2. Рациональное использование природного капитала Томской области, устойчивое развитие агропромышленного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2.2. Обеспечить переход к новым параметрам конкурентоспособности агропромышленного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 3. Повышение уровня и качества жизни населения на всей территории Томской области, накопление человеческого капитала: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3.1. Повысить доступность медицинской помощи и эффективность предоставления медицинских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3.2. Содействовать повышению качества образования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3.3. Содействовать развитию строительного комплекса, повышению качества жилищных условий, доступности жилья и качества городской среды.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3.4. Обеспечить повышение безопасности жизнедеятельности.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3.5. Обеспечить развитие физической культуры и спорта, проведение эффективной молодежной политики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3.6. Содействовать развитию эффективного рынка труда и кадровому обеспечению экономики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3.7. Повысить качество, актуальность и доступность услуг в сфере культуры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3.8. Повысить качество и доступность социальной поддержки и социального обслуживания населения, в том числе детей.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 4. Сбалансированное территориальное развитие, в том числе за счет развития инфраструктуры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4.1. Обеспечить устойчивое развитие муниципальных образований Томской области, в том числе сельских территорий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4.2. Содействовать повышению эффективности транспортной системы и информационно-коммуникационной инфраструктуры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4.3. Обеспечить модернизацию и развитие коммунальной инфраструктуры, в том числе повысить энергоэффективность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 5. Эффективное управление регионом и цифровая трансформация: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5.1. Создание системы управления на базе цифровых платформ, в том числе в государственном секторе.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5.3. Повысить эффективность управления государственным имуществом.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Задача 5.4. Обеспечить повышение эффективности регионального и муниципального управления.</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6. СЦЕНАРИИ СОЦИАЛЬНО-ЭКОНОМИЧЕСКОГО РАЗВИТИЯ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ТОМСКОЙ ОБЛАСТИ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На период 2021 - 2030 гг. при формировании сценариев социально-экономического развития Томской области учитывается как накопленный потенциал региона, так и описанный выше макроэкономический контекст, задающий сценарные рамки.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Сценарные условия определены на основе среднесрочного </w:t>
      </w:r>
      <w:hyperlink r:id="rId46" w:tooltip="consultantplus://offline/ref=9ACAA89C6FF58C33776267CAD8136869748C9BF027ECB854C524F083A7349DB9F4BFD35783C73F15E4AF5B38355Cs4I" w:history="1">
        <w:r>
          <w:rPr>
            <w:rFonts w:ascii="Arial" w:hAnsi="Arial" w:cs="Arial" w:eastAsia="Arial"/>
            <w:color w:val="0000FF"/>
            <w:sz w:val="20"/>
            <w:szCs w:val="20"/>
            <w:lang w:val="ru-RU" w:bidi="ru-RU"/>
          </w:rPr>
          <w:t xml:space="preserve">Прогноза</w:t>
        </w:r>
      </w:hyperlink>
      <w:r>
        <w:rPr>
          <w:rFonts w:ascii="Arial" w:hAnsi="Arial" w:cs="Arial" w:eastAsia="Arial"/>
          <w:sz w:val="20"/>
          <w:szCs w:val="20"/>
          <w:lang w:val="ru-RU" w:bidi="ru-RU"/>
        </w:rPr>
        <w:t xml:space="preserve"> социально-экономического развития Российской Федерации на 2021 - 2023 гг., долгосрочного </w:t>
      </w:r>
      <w:hyperlink r:id="rId47" w:tooltip="consultantplus://offline/ref=9ACAA89C6FF58C33776267CAD8136869748B9AF625EAB854C524F083A7349DB9F4BFD35783C73F15E4AF5B38355Cs4I" w:history="1">
        <w:r>
          <w:rPr>
            <w:rFonts w:ascii="Arial" w:hAnsi="Arial" w:cs="Arial" w:eastAsia="Arial"/>
            <w:color w:val="0000FF"/>
            <w:sz w:val="20"/>
            <w:szCs w:val="20"/>
            <w:lang w:val="ru-RU" w:bidi="ru-RU"/>
          </w:rPr>
          <w:t xml:space="preserve">Прогноза</w:t>
        </w:r>
      </w:hyperlink>
      <w:r>
        <w:rPr>
          <w:rFonts w:ascii="Arial" w:hAnsi="Arial" w:cs="Arial" w:eastAsia="Arial"/>
          <w:sz w:val="20"/>
          <w:szCs w:val="20"/>
          <w:lang w:val="ru-RU" w:bidi="ru-RU"/>
        </w:rPr>
        <w:t xml:space="preserve"> социально-экономического развития Российской Федерации Минэкономразвития России до 2036 г., Доклада о денежно-кредитной политике Банка России, прогнозов Центра макроэкономического анализа</w:t>
      </w:r>
      <w:r>
        <w:rPr>
          <w:rFonts w:ascii="Arial" w:hAnsi="Arial" w:cs="Arial" w:eastAsia="Arial"/>
          <w:sz w:val="20"/>
          <w:szCs w:val="20"/>
          <w:lang w:val="ru-RU" w:bidi="ru-RU"/>
        </w:rPr>
        <w:t xml:space="preserve"> и краткосрочного прогнозирования (ЦМАКП), Федеральной службы государственной статистики, оценки международных экспертов (ОЭСР, МВФ и др.). Во внимание принимаются также значения показателей социально-экономического развития региона, определенные в рамках </w:t>
      </w:r>
      <w:hyperlink r:id="rId48" w:tooltip="consultantplus://offline/ref=9ACAA89C6FF58C33776279C7CE7F366D7681C6FA22EBB60A9B74F6D4F8649BECA6FF8D0EC3832C14E3B159383ECE6E10EA9428DE3B62B0263FF55C2052s4I" w:history="1">
        <w:r>
          <w:rPr>
            <w:rFonts w:ascii="Arial" w:hAnsi="Arial" w:cs="Arial" w:eastAsia="Arial"/>
            <w:color w:val="0000FF"/>
            <w:sz w:val="20"/>
            <w:szCs w:val="20"/>
            <w:lang w:val="ru-RU" w:bidi="ru-RU"/>
          </w:rPr>
          <w:t xml:space="preserve">Прогноза</w:t>
        </w:r>
      </w:hyperlink>
      <w:r>
        <w:rPr>
          <w:rFonts w:ascii="Arial" w:hAnsi="Arial" w:cs="Arial" w:eastAsia="Arial"/>
          <w:sz w:val="20"/>
          <w:szCs w:val="20"/>
          <w:lang w:val="ru-RU" w:bidi="ru-RU"/>
        </w:rPr>
        <w:t xml:space="preserve"> социально-экономического развития Томской области на 2021 год и на плановый период 2022 - 2023 годов. Учтена необходимость достижения ключевых показателей эффективности деятельности высших должностных лиц и органов испо</w:t>
      </w:r>
      <w:r>
        <w:rPr>
          <w:rFonts w:ascii="Arial" w:hAnsi="Arial" w:cs="Arial" w:eastAsia="Arial"/>
          <w:sz w:val="20"/>
          <w:szCs w:val="20"/>
          <w:lang w:val="ru-RU" w:bidi="ru-RU"/>
        </w:rPr>
        <w:t xml:space="preserve">лнительной власти субъектов Российской Федерации, национальных целей развития Российской Федерации и национальных проектов, в том числе установленных для Томской области в рамках соглашений с федеральными органами власти о реализации региональных проектов.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Среди ключевых внешних для региона факторов - ситуация с пандемией COVID-19, антикризисные меры, принимаемые на уровне Российской Федерации, сценарии восстановл</w:t>
      </w:r>
      <w:r>
        <w:rPr>
          <w:rFonts w:ascii="Arial" w:hAnsi="Arial" w:cs="Arial" w:eastAsia="Arial"/>
          <w:sz w:val="20"/>
          <w:szCs w:val="20"/>
          <w:lang w:val="ru-RU" w:bidi="ru-RU"/>
        </w:rPr>
        <w:t xml:space="preserve">ения глобальной экономики после локдауна, ситуация на мировых рынках, геополитическая обстановка, состояние экономики Российской Федерации в целом и состояние банковского сектора, а также ключевая ставка Банка России. В числе внутренних факторов учитываютс</w:t>
      </w:r>
      <w:r>
        <w:rPr>
          <w:rFonts w:ascii="Arial" w:hAnsi="Arial" w:cs="Arial" w:eastAsia="Arial"/>
          <w:sz w:val="20"/>
          <w:szCs w:val="20"/>
          <w:lang w:val="ru-RU" w:bidi="ru-RU"/>
        </w:rPr>
        <w:t xml:space="preserve">я региональные антикризисные меры, направленные на обеспечение устойчивости основных сфер социально-экономического развития и выполнение обязательств региона, а также потенциальный эффект от реализации планируемых в рамках Стратегии мероприятий и проектов.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Непосредственно для региона выделяются две ключевые траектории развития: традиционная, опирающаяся на текущий убывающий портфель ресурсов, и инновационная, предполагающая ставку на новую экономическую (технологическую) повестку регионального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Сочетание внешних факторов и выбранной траектории развития определяет один из трех </w:t>
      </w:r>
      <w:r>
        <w:rPr>
          <w:rFonts w:ascii="Arial" w:hAnsi="Arial" w:cs="Arial" w:eastAsia="Arial"/>
          <w:sz w:val="20"/>
          <w:szCs w:val="20"/>
          <w:lang w:val="ru-RU" w:bidi="ru-RU"/>
        </w:rPr>
        <w:t xml:space="preserve">сценариев социально-экономического развития Томской области: консервативный, базовый или целевой, для каждого из которых определены значения ключевых показателей социально-экономического развития, характеризующих принципиальные рамки сценариев (таблица 5).</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5 - Основные показатели социально-экономического</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развития Томской области в рамках сценариев</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jc w:val="center"/>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928"/>
        <w:gridCol w:w="1743"/>
        <w:gridCol w:w="1134"/>
        <w:gridCol w:w="1277"/>
        <w:gridCol w:w="1489"/>
        <w:gridCol w:w="1490"/>
      </w:tblGrid>
      <w:tr>
        <w:trPr>
          <w:jc w:val="center"/>
        </w:trPr>
        <w:tc>
          <w:tcPr>
            <w:tcBorders>
              <w:left w:val="single" w:color="000000" w:sz="4" w:space="0"/>
              <w:top w:val="single" w:color="000000" w:sz="4" w:space="0"/>
              <w:right w:val="single" w:color="000000" w:sz="4" w:space="0"/>
              <w:bottom w:val="single" w:color="000000" w:sz="4" w:space="0"/>
            </w:tcBorders>
            <w:tcW w:w="1928"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Показатель</w:t>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Сценарий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 (факт)</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 (факт (оценка)</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 (прогноз)</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 (прогноз)</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restart"/>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Численность постоянного населения (среднегодовая), тыс. чел.</w:t>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1078,4</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1074,9</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1044,6</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1026,2</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1078,4</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1074,9</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1060,9</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1053,7</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целевой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1078,4</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1074,9</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1060,9</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1053,7</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restart"/>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Индекс физического объема ВРП в постоянных ценах, % к пред. году</w:t>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100,1</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91,8</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101,6</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101,6</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100,1</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91,8</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103,1</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103,2</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целевой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100,1</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91,8</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103,1</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104,5</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restart"/>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Индекс производства по виду экономической деятельности "Обрабатывающие производства" в сопоставимых ценах, % к пред. году</w:t>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110,2</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108,6</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104,4</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104,0</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110,2</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108,6</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107,3</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107,0</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целевой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110,2</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108,6</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108,8</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108,4</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restart"/>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Экспорт товаров, млн долл. США</w:t>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315,6</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310,1</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350,3</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483,0</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315,6</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310,1</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377,2</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504,4</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целевой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315,6</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310,1</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400,0</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557,1</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restart"/>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Реальные располагаемые денежные доходы, %</w:t>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98,1</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97,0</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100,3</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100,9</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базовый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98,1</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97,0</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102,0</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102,3</w:t>
            </w:r>
            <w:r/>
          </w:p>
        </w:tc>
      </w:tr>
      <w:tr>
        <w:trPr>
          <w:jc w:val="cente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7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целевой</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98,1</w:t>
            </w:r>
            <w:r/>
          </w:p>
        </w:tc>
        <w:tc>
          <w:tcPr>
            <w:tcBorders>
              <w:left w:val="single" w:color="000000" w:sz="4" w:space="0"/>
              <w:top w:val="single" w:color="000000" w:sz="4" w:space="0"/>
              <w:right w:val="single" w:color="000000" w:sz="4" w:space="0"/>
              <w:bottom w:val="single" w:color="000000" w:sz="4" w:space="0"/>
            </w:tcBorders>
            <w:tcW w:w="12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97,0</w:t>
            </w:r>
            <w:r/>
          </w:p>
        </w:tc>
        <w:tc>
          <w:tcPr>
            <w:tcBorders>
              <w:left w:val="single" w:color="000000" w:sz="4" w:space="0"/>
              <w:top w:val="single" w:color="000000" w:sz="4" w:space="0"/>
              <w:right w:val="single" w:color="000000" w:sz="4" w:space="0"/>
              <w:bottom w:val="single" w:color="000000" w:sz="4" w:space="0"/>
            </w:tcBorders>
            <w:tcW w:w="148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102,4</w:t>
            </w:r>
            <w:r/>
          </w:p>
        </w:tc>
        <w:tc>
          <w:tcPr>
            <w:tcBorders>
              <w:left w:val="single" w:color="000000" w:sz="4" w:space="0"/>
              <w:top w:val="single" w:color="000000" w:sz="4" w:space="0"/>
              <w:right w:val="single" w:color="000000" w:sz="4" w:space="0"/>
              <w:bottom w:val="single" w:color="000000" w:sz="4" w:space="0"/>
            </w:tcBorders>
            <w:tcW w:w="149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102,6</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Консервативный сценарий отличает низкая инвестиционная и экономическая активность на фоне исчерпания традиционных ресурсов развития. Неблагоприятная ситуация на национальных и мировых рынках обуславливает </w:t>
      </w:r>
      <w:r>
        <w:rPr>
          <w:rFonts w:ascii="Arial" w:hAnsi="Arial" w:cs="Arial" w:eastAsia="Arial"/>
          <w:sz w:val="20"/>
          <w:szCs w:val="20"/>
          <w:lang w:val="ru-RU" w:bidi="ru-RU"/>
        </w:rPr>
        <w:t xml:space="preserve">реализацию только части мероприятий и проектов, преимущественно направленных на поддержку действующей инфраструктуры и выполнение базовых обязательств государства и региона в социальной сфере. В результате будет наблюдаться недостижение показателей эффекти</w:t>
      </w:r>
      <w:r>
        <w:rPr>
          <w:rFonts w:ascii="Arial" w:hAnsi="Arial" w:cs="Arial" w:eastAsia="Arial"/>
          <w:sz w:val="20"/>
          <w:szCs w:val="20"/>
          <w:lang w:val="ru-RU" w:bidi="ru-RU"/>
        </w:rPr>
        <w:t xml:space="preserve">вности деятельности региональных органов исполнительной власти, а также показателей национальных целей, находящихся в "зоне риска". Неустойчивость опоры на нефтегазовый сектор в рамках консервативного сценария в долгосрочной перспективе приведет к замедлен</w:t>
      </w:r>
      <w:r>
        <w:rPr>
          <w:rFonts w:ascii="Arial" w:hAnsi="Arial" w:cs="Arial" w:eastAsia="Arial"/>
          <w:sz w:val="20"/>
          <w:szCs w:val="20"/>
          <w:lang w:val="ru-RU" w:bidi="ru-RU"/>
        </w:rPr>
        <w:t xml:space="preserve">ию роста ВРП, несмотря на стабильный рост обрабатывающих производств за счет сокращения доходов от добычи полезных ископаемых, на которые по-прежнему приходится существенная доля ВРП. Наблюдается сокращение реальных располагаемых доходов и отток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Базовый сценарий предполагает реализацию активной региональной политики "модернизационного типа", </w:t>
      </w:r>
      <w:r>
        <w:rPr>
          <w:rFonts w:ascii="Arial" w:hAnsi="Arial" w:cs="Arial" w:eastAsia="Arial"/>
          <w:sz w:val="20"/>
          <w:szCs w:val="20"/>
          <w:lang w:val="ru-RU" w:bidi="ru-RU"/>
        </w:rPr>
        <w:t xml:space="preserve">включая комплексную трансформацию базового сектора экономики региона, создание в Томской области современного промышленно-технологического сектора в сфере ТЭК. При этом регион реализует направления инновационного развития в благоприятных внешних условиях, </w:t>
      </w:r>
      <w:r>
        <w:rPr>
          <w:rFonts w:ascii="Arial" w:hAnsi="Arial" w:cs="Arial" w:eastAsia="Arial"/>
          <w:sz w:val="20"/>
          <w:szCs w:val="20"/>
          <w:lang w:val="ru-RU" w:bidi="ru-RU"/>
        </w:rPr>
        <w:t xml:space="preserve">что, в частности, характеризуется ростом обрабатывающих производств к 2030 г. по сравнению с 2020 г. в 2,35 раза и увеличением экспорта товаров примерно на 60% за 10 лет. Сценарий предполагает умеренную динамику социально-экономического развития (прирост В</w:t>
      </w:r>
      <w:r>
        <w:rPr>
          <w:rFonts w:ascii="Arial" w:hAnsi="Arial" w:cs="Arial" w:eastAsia="Arial"/>
          <w:sz w:val="20"/>
          <w:szCs w:val="20"/>
          <w:lang w:val="ru-RU" w:bidi="ru-RU"/>
        </w:rPr>
        <w:t xml:space="preserve">РП в среднем на уровне 3% в год), наращивание инвестиций, конвертацию научных разработок региональных коллективов в рыночные продукты, что в результате приведет к достижению показателей эффективности региональных органов исполнительной власти и национальны</w:t>
      </w:r>
      <w:r>
        <w:rPr>
          <w:rFonts w:ascii="Arial" w:hAnsi="Arial" w:cs="Arial" w:eastAsia="Arial"/>
          <w:sz w:val="20"/>
          <w:szCs w:val="20"/>
          <w:lang w:val="ru-RU" w:bidi="ru-RU"/>
        </w:rPr>
        <w:t xml:space="preserve">х целей в рамках заложенных в стратегию значений. Реальные располагаемые денежные доходы населения за 2021 - 2030 гг. будут расти в среднем на уровне 2% в год. В целом обозначенные факторы приведут к замедлению сокращения численности населения к 2030 году.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Целевой сценарий предусматривает активную политику региона в напра</w:t>
      </w:r>
      <w:r>
        <w:rPr>
          <w:rFonts w:ascii="Arial" w:hAnsi="Arial" w:cs="Arial" w:eastAsia="Arial"/>
          <w:sz w:val="20"/>
          <w:szCs w:val="20"/>
          <w:lang w:val="ru-RU" w:bidi="ru-RU"/>
        </w:rPr>
        <w:t xml:space="preserve">влении трансформации экономики и социальной сферы, в том числе за счет использования федеральных инструментов поддержки, расширения инвестиционных программ предприятий, вовлечения предпринимательского капитала. В рамках данного сценария отмечаются форсиров</w:t>
      </w:r>
      <w:r>
        <w:rPr>
          <w:rFonts w:ascii="Arial" w:hAnsi="Arial" w:cs="Arial" w:eastAsia="Arial"/>
          <w:sz w:val="20"/>
          <w:szCs w:val="20"/>
          <w:lang w:val="ru-RU" w:bidi="ru-RU"/>
        </w:rPr>
        <w:t xml:space="preserve">анные темпы роста экономики Томской области за счет развития высокотехнологичного топливно-энергетического комплекса и новых промышленных кластерных проектов (глубокой переработки древесины, высокотехнологичного инжиниринга, микро- и наноэлектроники, точно</w:t>
      </w:r>
      <w:r>
        <w:rPr>
          <w:rFonts w:ascii="Arial" w:hAnsi="Arial" w:cs="Arial" w:eastAsia="Arial"/>
          <w:sz w:val="20"/>
          <w:szCs w:val="20"/>
          <w:lang w:val="ru-RU" w:bidi="ru-RU"/>
        </w:rPr>
        <w:t xml:space="preserve">го машиностроения и производства передового оборудования). Рост обрабатывающих производств к 2030 году по отношению с 2020 году увеличится в 2,6 раза, экспорт товаров возрастет на 80%, среднегодовые темпы роста ВРП составят около 4%. В рамках сценария обес</w:t>
      </w:r>
      <w:r>
        <w:rPr>
          <w:rFonts w:ascii="Arial" w:hAnsi="Arial" w:cs="Arial" w:eastAsia="Arial"/>
          <w:sz w:val="20"/>
          <w:szCs w:val="20"/>
          <w:lang w:val="ru-RU" w:bidi="ru-RU"/>
        </w:rPr>
        <w:t xml:space="preserve">печивается достижение и превышение показателей эффективности региональных органов исполнительной власти и национальных целей. Созданы благоприятные условия для жизни (включающие гибкую социальную инфраструктуру на базе цифровых и интеллектуальных технологи</w:t>
      </w:r>
      <w:r>
        <w:rPr>
          <w:rFonts w:ascii="Arial" w:hAnsi="Arial" w:cs="Arial" w:eastAsia="Arial"/>
          <w:sz w:val="20"/>
          <w:szCs w:val="20"/>
          <w:lang w:val="ru-RU" w:bidi="ru-RU"/>
        </w:rPr>
        <w:t xml:space="preserve">й), обеспечивающие высокое качество жизни и привлекательность региона для молодых квалифицированных кадров. В результате реальные располагаемые денежные доходы населения будут расти со среднегодовым темпом около 2,5%, численность населения стабилизируется.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обеспечения реализации базового или целевого сценариев развития необходимо расширить ключевые направления социально-экономического развития Томской области с учетом актуальных целей и задач.</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7. НАПРАВЛЕНИЯ СОЦИАЛЬНО-ЭКОНОМИЧЕСКОГО РАЗВИТИЯ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ТОМСКОЙ ОБЛАСТИ С УЧЕТОМ АКТУАЛЬНЫХ ЦЕЛЕЙ И ЗАДАЧ</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Цель 1. Реализация модели интенсивного развития, включая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развитие высокотехнологичных производств на основе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потенциала научно-образовательного комплекса, создание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условий для инвестиций, развитие предпринимательства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Достижение цели по реализации модели интенсивного развития возм</w:t>
      </w:r>
      <w:r>
        <w:rPr>
          <w:rFonts w:ascii="Arial" w:hAnsi="Arial" w:cs="Arial" w:eastAsia="Arial"/>
          <w:sz w:val="20"/>
          <w:szCs w:val="20"/>
          <w:lang w:val="ru-RU" w:bidi="ru-RU"/>
        </w:rPr>
        <w:t xml:space="preserve">ожно благодаря дальнейшему развитию конкурентоспособного научно-образовательного комплекса с ориентацией на прорывные научно-технологические разработки и образовательные программы, востребованные индустрией, а также сформированной инновационной экосистемы.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Текущая модель экономической политики Томской области основана на следующих приоритетах: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Диверсификация топливно-энергетического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Развитие глубокой переработки лесных ресурсов и древесины.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Развитие новых промышленных кластеров в сфере высокотехнологичного инжиниринга, микро- и наноэлектроники, точного машиностроения и производства передового оборудования (а также диверсификация оборонно-промышленного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4. Развитие непроизводственных индустрий, включая предпринимательство в сфере гостеприимства, городских услуг, креативной индустрии, туризма.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Развитие передовой медицины.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Создание условий для появления перспективных технологических кластеров и научно-технологических консорциумов, ориентированных на быстро растущие экспортные рынки, включает: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механизмов эффективной кооперации технологического и производственного бизнеса, науки и образования, в том числе в рамках создания научно-образовательного центра мирового уровня на территории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реализацию программы поддержки промышленных компаний в борьбе с негативными последствиями пандемии;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новых механизмов стимулирования и защиты инвестиций в экспортно ориентированные производства, использование механизмов СПИК-2;</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услуг для стимулирования и поддержки экспортной деятельности предприятий, включая создание платформы цифровых сервисов в ре</w:t>
      </w:r>
      <w:r>
        <w:rPr>
          <w:rFonts w:ascii="Arial" w:hAnsi="Arial" w:cs="Arial" w:eastAsia="Arial"/>
          <w:sz w:val="20"/>
          <w:szCs w:val="20"/>
          <w:lang w:val="ru-RU" w:bidi="ru-RU"/>
        </w:rPr>
        <w:t xml:space="preserve">жиме "одного окна", реализацию мероприятий в рамках внедрения Регионального экспортного стандарта 2.0, продвижение экспортных приоритетов на федеральном уровне, в том числе по вопросам снятия административных барьеров и ограничений экспортной деятельности;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включение в экспортно ориентированные транссибирские логистические коридоры и экспортные маршруты в направлении перспективных рынков, в том числе за счет развития</w:t>
      </w:r>
      <w:r>
        <w:rPr>
          <w:rFonts w:ascii="Arial" w:hAnsi="Arial" w:cs="Arial" w:eastAsia="Arial"/>
          <w:sz w:val="20"/>
          <w:szCs w:val="20"/>
          <w:lang w:val="ru-RU" w:bidi="ru-RU"/>
        </w:rPr>
        <w:t xml:space="preserve"> сети торгово-логистических центров, упрощения режимов оформления грузов на приоритетных направлениях, создания специализированных промышленных зон, расширения сервисов для бизнеса на базе передовых международных стандартов в рамках механизмов ОЭЗ и ТОСЭР.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результате к 2030 г. будет обеспечен темп роста ВРП в сопоставимых ценах на 40,66% больше по отношению к уровню 2020 г. Доля продукции высокотехнологичных и наукоемких отраслей экономики в ВРП вырастет с 21,4% в 2020 г. до 25,6% в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1.1. Обеспечить развитие промышленности в Томской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области посредством модернизации системообразующих секторов</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создания новых промышленных кластеров</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политики развития промышленности Томской области - обеспечение (на базе имеющегося научно-технологического задела региона) создания и выхода на проектную мощность новых технологических кластеров, актуальных в современной мировой экономике.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настоящее время на промышленность приходится 40% ВРП (около 200 млрд руб.), 43% налоговых доходов консолидированного бюджета Томской области (около 16 млрд рублей) и 23% численности работающих (более 70 тыс. человек).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Приоритеты в рамках рассматриваемой задачи: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наращивание числа организаций, осуществляющих технологические инновации;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стимулирование спроса на отечественную продукцию через закупки в интересах национальных проектов и крупных заказчиков;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стимулирование инвестиционной активности организаций в целях модернизации и расширения основных фондов;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увеличение доли высокотехнологичной продукции гражданского и двойного назначения в производстве предприятий оборонно-промышленного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наращивание экспортных поставок несырьевого неэнергетического экспорта.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Продолжение реализации мероприятий по развитию промышленности в Томской области необходимо для поддержания стабильности структуры промышленности. В частности, мероприятия по расширению ресурсно</w:t>
      </w:r>
      <w:r>
        <w:rPr>
          <w:rFonts w:ascii="Arial" w:hAnsi="Arial" w:cs="Arial" w:eastAsia="Arial"/>
          <w:sz w:val="20"/>
          <w:szCs w:val="20"/>
          <w:lang w:val="ru-RU" w:bidi="ru-RU"/>
        </w:rPr>
        <w:t xml:space="preserve">й базы позволяют стабилизировать темпы падения добычи в связи с исчерпанием ряда месторождений. Будет продолжена работа по продвижению томской импортозамещающей продукции в интересах крупных корпораций-заказчиков с использованием механизма "дорожных карт".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отрасли нефтегазодобычи планируется продолжение программы по изучению палеозойского слоя, завершение строительства и ввод в эксплуатацию комплекса по утилизации попутного нефтяного газа на месторождениях ООО "</w:t>
      </w:r>
      <w:r>
        <w:rPr>
          <w:rFonts w:ascii="Arial" w:hAnsi="Arial" w:cs="Arial" w:eastAsia="Arial"/>
          <w:sz w:val="20"/>
          <w:szCs w:val="20"/>
          <w:lang w:val="ru-RU" w:bidi="ru-RU"/>
        </w:rPr>
        <w:t xml:space="preserve">Норд Империал", распределение участков недр из нераспределенного фонда для вовлечения в разработку новых территорий, а также работа по привлечению федеральных средств на региональные геологоразведочные работы и дальнейшее наращивание сырьевой базы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сфере химии, нефтехимии и нефтепереработки приоритетами являются модернизация оборудования, улучшение технологических процессов и качества продукции, цифровизация, а также развитие малотоннажной химии, создание нов</w:t>
      </w:r>
      <w:r>
        <w:rPr>
          <w:rFonts w:ascii="Arial" w:hAnsi="Arial" w:cs="Arial" w:eastAsia="Arial"/>
          <w:sz w:val="20"/>
          <w:szCs w:val="20"/>
          <w:lang w:val="ru-RU" w:bidi="ru-RU"/>
        </w:rPr>
        <w:t xml:space="preserve">ых продуктов. В ближайшей перспективе планируется реализация ряда локальных проектов по текущей модернизации отдельных участков производства, которые будут направлены на оптимизацию технологических процессов, снижение потребления энергоресурсов, сокращение</w:t>
      </w:r>
      <w:r>
        <w:rPr>
          <w:rFonts w:ascii="Arial" w:hAnsi="Arial" w:cs="Arial" w:eastAsia="Arial"/>
          <w:sz w:val="20"/>
          <w:szCs w:val="20"/>
          <w:lang w:val="ru-RU" w:bidi="ru-RU"/>
        </w:rPr>
        <w:t xml:space="preserve"> потерь, повышение эффективности производства в целом (ООО "Томскнефтехим"); продолжение реализации проекта по техническому перевооружению циркулярного синтеза метанола с целью увеличения мощности производства (ООО "Газпром Метанол"); модернизация действую</w:t>
      </w:r>
      <w:r>
        <w:rPr>
          <w:rFonts w:ascii="Arial" w:hAnsi="Arial" w:cs="Arial" w:eastAsia="Arial"/>
          <w:sz w:val="20"/>
          <w:szCs w:val="20"/>
          <w:lang w:val="ru-RU" w:bidi="ru-RU"/>
        </w:rPr>
        <w:t xml:space="preserve">щего производства для расширения номенклатуры используемого сырья и выпускаемой продукции (ООО "НПО РеаСиб"). Ряд томских предприятий химической отрасли планирует начать выпуск новой для региона продукции. В частности, ООО "Сибурметахим" планирует организа</w:t>
      </w:r>
      <w:r>
        <w:rPr>
          <w:rFonts w:ascii="Arial" w:hAnsi="Arial" w:cs="Arial" w:eastAsia="Arial"/>
          <w:sz w:val="20"/>
          <w:szCs w:val="20"/>
          <w:lang w:val="ru-RU" w:bidi="ru-RU"/>
        </w:rPr>
        <w:t xml:space="preserve">цию производства по глубокой переработке торфа и получение экологически чистой продукции - гуминовых торфяных препаратов, применяемых в сельскохозяйственном секторе. Востребованный портфель экспортной продукции с учетом специализации предприятий региона вк</w:t>
      </w:r>
      <w:r>
        <w:rPr>
          <w:rFonts w:ascii="Arial" w:hAnsi="Arial" w:cs="Arial" w:eastAsia="Arial"/>
          <w:sz w:val="20"/>
          <w:szCs w:val="20"/>
          <w:lang w:val="ru-RU" w:bidi="ru-RU"/>
        </w:rPr>
        <w:t xml:space="preserve">лючает изделия из пластмасс, моющие чистящие средства, продукцию газохимии. У Томской области есть потенциал расширения участия в цепочках создания стоимости "серого" и "зеленого" водорода, малотоннажной химии, ИТ в сфере разведки и добычи и нефтесервисов.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Одним из ключевых приоритетов развития лесопромышленного комплекса является создание дополнительных производств по комплексной переработке древесины: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кластерных проектов по комплексной переработке древесины;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стимулирование (финансовое и нефинансовое) создания производств по переработке древесных отходов и низкотоварной древесины;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промышленных площадок и производственных мощностей по переработке древесных отходов.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отрасли машиностроения необходимо отметить создание в регионе в 2020 году кластера двойного назначения "Комплексные автоматизированные системы", направленного на содействие реализации национальных проектов и программ импортозамещения за счет </w:t>
      </w:r>
      <w:r>
        <w:rPr>
          <w:rFonts w:ascii="Arial" w:hAnsi="Arial" w:cs="Arial" w:eastAsia="Arial"/>
          <w:sz w:val="20"/>
          <w:szCs w:val="20"/>
          <w:lang w:val="ru-RU" w:bidi="ru-RU"/>
        </w:rPr>
        <w:t xml:space="preserve">разработки и производства высокотехнологичной продукции гражданского и двойного назначения, конкурентоспособной на российском и международных рынках. Кластер объединяет такие организации, как ОАО "Манотомь", НПФ "Микран", Томский приборный завод, АО "НИИПП</w:t>
      </w:r>
      <w:r>
        <w:rPr>
          <w:rFonts w:ascii="Arial" w:hAnsi="Arial" w:cs="Arial" w:eastAsia="Arial"/>
          <w:sz w:val="20"/>
          <w:szCs w:val="20"/>
          <w:lang w:val="ru-RU" w:bidi="ru-RU"/>
        </w:rPr>
        <w:t xml:space="preserve">", Томский электротехнический завод, НПЦ "Полюс", а также Томский политехнический университет и Институт государственно-частного планирования из Санкт-Петербурга. Среди значимых проектов - создание регионального Центра коллективного проектирования современ</w:t>
      </w:r>
      <w:r>
        <w:rPr>
          <w:rFonts w:ascii="Arial" w:hAnsi="Arial" w:cs="Arial" w:eastAsia="Arial"/>
          <w:sz w:val="20"/>
          <w:szCs w:val="20"/>
          <w:lang w:val="ru-RU" w:bidi="ru-RU"/>
        </w:rPr>
        <w:t xml:space="preserve">ных изделий электронной компонентной базы с участием АО "НПФ "Микран" и ТУСУР и учебно-производственного Центра "Фабрика МИС" по подготовке специалистов высокого уровня в области СВЧ микроэлектроники на базе действующей производственной линии НПФ "Микран".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свете новых глобальных вызовов мировой экономики и энергетического кризиса обозначенных выше мероприятий недостаточно.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реализации Стратегии предстоит усилить мероприятия по реструктуризации базового сектора, а также по созданию к 2030 году новой производственной специализации в сфере высоких переделов для новых экспортно ориентированных рынков.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Необходима реализация следующих дополнительных направлений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Комплексная модернизация базового сектора - формирования "ТЭК мирового уровня";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Развитие кластеров глубокой переработки ресурсов, в том числе экспортно ориентированных: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кластера в сфере малотоннажной химии, нефтехимии и фторидных 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лесопромышленного технологического кластера по производству конечной экспортно ориентированной продукции из древесины;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кластера инновационных продуктов в сфере функционального и здорового питания;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Развитие отраслей новой экономики и новых промышленных рынков: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кластера в сфере высокотехнологичного инжиниринга, микро- и наноэлектроники, точного машиностроения и производства передового оборудования;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кластера ядерных тех</w:t>
      </w:r>
      <w:r>
        <w:rPr>
          <w:rFonts w:ascii="Arial" w:hAnsi="Arial" w:cs="Arial" w:eastAsia="Arial"/>
          <w:sz w:val="20"/>
          <w:szCs w:val="20"/>
          <w:lang w:val="ru-RU" w:bidi="ru-RU"/>
        </w:rPr>
        <w:t xml:space="preserve">нологий, в т.ч. посредством реализации в Томской области проекта по строительству инновационного опытно-демонстрационного энергокомплекса с реактором на быстрых нейтронах со свинцовым теплоносителем "БРЕСТ-ОД-300" с пристанционным ядерным топливным циклом.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Работа по каждому направлению предполагает: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привлечение средств инвестиционных фондов, в частности Фонда развития промышленности, для модернизации существующего производства;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участие в национальных проектах для поддержки выпуска новых видов продукции на начальных этапах;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разработку дорожных карт с предприятиями - лидерами отраслей для решения задач импортозамещения;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участие промышлен</w:t>
      </w:r>
      <w:r>
        <w:rPr>
          <w:rFonts w:ascii="Arial" w:hAnsi="Arial" w:cs="Arial" w:eastAsia="Arial"/>
          <w:sz w:val="20"/>
          <w:szCs w:val="20"/>
          <w:lang w:val="ru-RU" w:bidi="ru-RU"/>
        </w:rPr>
        <w:t xml:space="preserve">ных предприятий, научных и образовательных организаций в кооперационных проектах, направленных на разработку и внедрение технологических инноваций и цифровых технологий, в частности, использование существующих и формирование новых дизайн-центров (в рамках </w:t>
      </w:r>
      <w:hyperlink r:id="rId49" w:tooltip="consultantplus://offline/ref=9ACAA89C6FF58C33776267CAD8136869748D9FF225E7B854C524F083A7349DB9F4BFD35783C73F15E4AF5B38355Cs4I" w:history="1">
        <w:r>
          <w:rPr>
            <w:rFonts w:ascii="Arial" w:hAnsi="Arial" w:cs="Arial" w:eastAsia="Arial"/>
            <w:color w:val="0000FF"/>
            <w:sz w:val="20"/>
            <w:szCs w:val="20"/>
            <w:lang w:val="ru-RU" w:bidi="ru-RU"/>
          </w:rPr>
          <w:t xml:space="preserve">Постановления</w:t>
        </w:r>
      </w:hyperlink>
      <w:r>
        <w:rPr>
          <w:rFonts w:ascii="Arial" w:hAnsi="Arial" w:cs="Arial" w:eastAsia="Arial"/>
          <w:sz w:val="20"/>
          <w:szCs w:val="20"/>
          <w:lang w:val="ru-RU" w:bidi="ru-RU"/>
        </w:rPr>
        <w:t xml:space="preserve"> Правительства Российской Федерации от 9 апреля 2010 года N 218 "Об утверждении Правил предоставления субсидий на развитие кооперации российских образовательных организаций высшего обр</w:t>
      </w:r>
      <w:r>
        <w:rPr>
          <w:rFonts w:ascii="Arial" w:hAnsi="Arial" w:cs="Arial" w:eastAsia="Arial"/>
          <w:sz w:val="20"/>
          <w:szCs w:val="20"/>
          <w:lang w:val="ru-RU" w:bidi="ru-RU"/>
        </w:rPr>
        <w:t xml:space="preserve">азования, государственных научных учреждений и организаций реального сектора экономики в целях реализации комплексных проектов по созданию высокотехнологичных производств" и Положения о проведении конкурса на определение получателей субсидий из федеральног</w:t>
      </w:r>
      <w:r>
        <w:rPr>
          <w:rFonts w:ascii="Arial" w:hAnsi="Arial" w:cs="Arial" w:eastAsia="Arial"/>
          <w:sz w:val="20"/>
          <w:szCs w:val="20"/>
          <w:lang w:val="ru-RU" w:bidi="ru-RU"/>
        </w:rPr>
        <w:t xml:space="preserve">о бюджета на развитие кооперации российских образовательных организаций высшего образования, государственных научных учреждений и организаций реального сектора экономики в целях реализации комплексных проектов по созданию высокотехнологичных производств", </w:t>
      </w:r>
      <w:hyperlink r:id="rId50" w:tooltip="consultantplus://offline/ref=9ACAA89C6FF58C33776267CAD813686974829AF02AEFB854C524F083A7349DB9F4BFD35783C73F15E4AF5B38355Cs4I" w:history="1">
        <w:r>
          <w:rPr>
            <w:rFonts w:ascii="Arial" w:hAnsi="Arial" w:cs="Arial" w:eastAsia="Arial"/>
            <w:color w:val="0000FF"/>
            <w:sz w:val="20"/>
            <w:szCs w:val="20"/>
            <w:lang w:val="ru-RU" w:bidi="ru-RU"/>
          </w:rPr>
          <w:t xml:space="preserve">Постановления</w:t>
        </w:r>
      </w:hyperlink>
      <w:r>
        <w:rPr>
          <w:rFonts w:ascii="Arial" w:hAnsi="Arial" w:cs="Arial" w:eastAsia="Arial"/>
          <w:sz w:val="20"/>
          <w:szCs w:val="20"/>
          <w:lang w:val="ru-RU" w:bidi="ru-RU"/>
        </w:rPr>
        <w:t xml:space="preserve"> Правительства Российской Федерации от 17 февраля 2016 года N 109 "Об утверждении Правил предоставления </w:t>
      </w:r>
      <w:r>
        <w:rPr>
          <w:rFonts w:ascii="Arial" w:hAnsi="Arial" w:cs="Arial" w:eastAsia="Arial"/>
          <w:sz w:val="20"/>
          <w:szCs w:val="20"/>
          <w:lang w:val="ru-RU" w:bidi="ru-RU"/>
        </w:rPr>
        <w:t xml:space="preserve">из федерального бюджета субсидий российским организациям на финансовое обеспечение части затрат на создание научно-технического задела по разработке базовых технологий производства приоритетных электронных компонентов и радиоэлектронной аппаратуры" и др.).</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Комплексная модернизация базового сектора</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"ТЭК мирового уровня"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Топливно-энергетический комплекс является ключевым сектором экономики Томской области, значительная доля в его структуре приходится на нефтегазодобычу. В перспективе до 2030 года ТЭК сохранит свою ведущую роль в р</w:t>
      </w:r>
      <w:r>
        <w:rPr>
          <w:rFonts w:ascii="Arial" w:hAnsi="Arial" w:cs="Arial" w:eastAsia="Arial"/>
          <w:sz w:val="20"/>
          <w:szCs w:val="20"/>
          <w:lang w:val="ru-RU" w:bidi="ru-RU"/>
        </w:rPr>
        <w:t xml:space="preserve">егиональной экономике, в то же время его структура и технологическая основа должны быть существенно пересмотрены. Приоритетные отраслевые направления диверсификации Томского ТЭК, выделенные на основе имеющегося стратегического потенциала, описанного выше, </w:t>
      </w:r>
      <w:r>
        <w:rPr>
          <w:rFonts w:ascii="Arial" w:hAnsi="Arial" w:cs="Arial" w:eastAsia="Arial"/>
          <w:sz w:val="20"/>
          <w:szCs w:val="20"/>
          <w:lang w:val="ru-RU" w:bidi="ru-RU"/>
        </w:rPr>
        <w:t xml:space="preserve">а также на основе анализа мировых кластеров со сходными областями научно-технологической (инженерной) специализации и компетенций, представлены в таблице 6 и включают нефтегазовую отрасль, энергетику, в т.ч. новую, сервисы и управление в цепочках поставок.</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6 - Приоритетные отраслевые направления</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диверсификации Томского топливно-энергетического комплекса</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сравнении с наиболее релевантным</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прототипом - кластером г. Абердин (Великобритания)</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jc w:val="center"/>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440"/>
        <w:gridCol w:w="1395"/>
        <w:gridCol w:w="3118"/>
        <w:gridCol w:w="3118"/>
      </w:tblGrid>
      <w:tr>
        <w:trPr>
          <w:jc w:val="center"/>
        </w:trPr>
        <w:tc>
          <w:tcPr>
            <w:gridSpan w:val="2"/>
            <w:tcBorders>
              <w:left w:val="single" w:color="000000" w:sz="4" w:space="0"/>
              <w:top w:val="single" w:color="000000" w:sz="4" w:space="0"/>
              <w:right w:val="single" w:color="000000" w:sz="4" w:space="0"/>
              <w:bottom w:val="single" w:color="000000" w:sz="4" w:space="0"/>
            </w:tcBorders>
            <w:tcW w:w="2835"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Фокус</w:t>
            </w:r>
            <w:r/>
          </w:p>
        </w:tc>
        <w:tc>
          <w:tcPr>
            <w:tcBorders>
              <w:left w:val="single" w:color="000000" w:sz="4" w:space="0"/>
              <w:top w:val="single" w:color="000000" w:sz="4" w:space="0"/>
              <w:right w:val="single" w:color="000000" w:sz="4" w:space="0"/>
              <w:bottom w:val="single" w:color="000000" w:sz="4" w:space="0"/>
            </w:tcBorders>
            <w:tcW w:w="3118"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w:t>
            </w:r>
            <w:r/>
          </w:p>
        </w:tc>
        <w:tc>
          <w:tcPr>
            <w:tcBorders>
              <w:left w:val="single" w:color="000000" w:sz="4" w:space="0"/>
              <w:top w:val="single" w:color="000000" w:sz="4" w:space="0"/>
              <w:right w:val="single" w:color="000000" w:sz="4" w:space="0"/>
              <w:bottom w:val="single" w:color="000000" w:sz="4" w:space="0"/>
            </w:tcBorders>
            <w:tcW w:w="3118"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 Абердин, Великобритания</w:t>
            </w:r>
            <w:r/>
          </w:p>
        </w:tc>
      </w:tr>
      <w:tr>
        <w:trPr>
          <w:jc w:val="center"/>
        </w:trPr>
        <w:tc>
          <w:tcPr>
            <w:tcBorders>
              <w:left w:val="single" w:color="000000" w:sz="4" w:space="0"/>
              <w:top w:val="single" w:color="000000" w:sz="4" w:space="0"/>
              <w:right w:val="single" w:color="000000" w:sz="4" w:space="0"/>
              <w:bottom w:val="single" w:color="000000" w:sz="4" w:space="0"/>
            </w:tcBorders>
            <w:tcW w:w="1440" w:type="dxa"/>
            <w:vAlign w:val="center"/>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Технологический фокус в энергетике</w:t>
            </w:r>
            <w:r/>
          </w:p>
        </w:tc>
        <w:tc>
          <w:tcPr>
            <w:tcBorders>
              <w:left w:val="single" w:color="000000" w:sz="4" w:space="0"/>
              <w:top w:val="single" w:color="000000" w:sz="4" w:space="0"/>
              <w:right w:val="single" w:color="000000" w:sz="4" w:space="0"/>
              <w:bottom w:val="single" w:color="000000" w:sz="4" w:space="0"/>
            </w:tcBorders>
            <w:tcW w:w="13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Нефтегазовая отрасль</w:t>
            </w:r>
            <w:r/>
          </w:p>
        </w:tc>
        <w:tc>
          <w:tcPr>
            <w:tcBorders>
              <w:left w:val="single" w:color="000000" w:sz="4" w:space="0"/>
              <w:top w:val="single" w:color="000000" w:sz="4" w:space="0"/>
              <w:right w:val="single" w:color="000000" w:sz="4" w:space="0"/>
              <w:bottom w:val="single" w:color="000000" w:sz="4" w:space="0"/>
            </w:tcBorders>
            <w:tcW w:w="31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Трудноизвлекаемые запасы</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Цифровые технологии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Увеличение коэффициента извлечения нефти на старых и выработанных месторождениях</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Тестовые полигоны, в том числе по испытанию нового оборудования</w:t>
            </w:r>
            <w:r/>
          </w:p>
        </w:tc>
        <w:tc>
          <w:tcPr>
            <w:tcBorders>
              <w:left w:val="single" w:color="000000" w:sz="4" w:space="0"/>
              <w:top w:val="single" w:color="000000" w:sz="4" w:space="0"/>
              <w:right w:val="single" w:color="000000" w:sz="4" w:space="0"/>
              <w:bottom w:val="single" w:color="000000" w:sz="4" w:space="0"/>
            </w:tcBorders>
            <w:tcW w:w="31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Трудноизвлекаемые запасы</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Цифровые технологии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Вывод из эксплуатации старых и выработанных месторождений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Интеграция активов (создание совместных предприятий в нефтегазовой отрасли)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Строительство высокотехнологичных скважин</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Подводная добыча нефти и газа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Повышение эффективности разработки малых месторождений нефти и газа</w:t>
            </w:r>
            <w:r/>
          </w:p>
        </w:tc>
      </w:tr>
      <w:tr>
        <w:trPr>
          <w:jc w:val="center"/>
        </w:trPr>
        <w:tc>
          <w:tcPr>
            <w:tcBorders>
              <w:left w:val="single" w:color="000000" w:sz="4" w:space="0"/>
              <w:top w:val="single" w:color="000000" w:sz="4" w:space="0"/>
              <w:right w:val="single" w:color="000000" w:sz="4" w:space="0"/>
              <w:bottom w:val="single" w:color="000000" w:sz="4" w:space="0"/>
            </w:tcBorders>
            <w:tcW w:w="1440"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3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Энергетика в широком смысле, в том числе новая</w:t>
            </w:r>
            <w:r/>
          </w:p>
        </w:tc>
        <w:tc>
          <w:tcPr>
            <w:tcBorders>
              <w:left w:val="single" w:color="000000" w:sz="4" w:space="0"/>
              <w:top w:val="single" w:color="000000" w:sz="4" w:space="0"/>
              <w:right w:val="single" w:color="000000" w:sz="4" w:space="0"/>
              <w:bottom w:val="single" w:color="000000" w:sz="4" w:space="0"/>
            </w:tcBorders>
            <w:tcW w:w="31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Улавливание и хранение углерода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Энергия возобновляемых источников энергии, в т.ч. биомассы</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Хранение энергии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Атомная энергетика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Использование топливных элементов</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Водородная энергетика (в рамках пилотных проектов)</w:t>
            </w:r>
            <w:r/>
          </w:p>
        </w:tc>
        <w:tc>
          <w:tcPr>
            <w:tcBorders>
              <w:left w:val="single" w:color="000000" w:sz="4" w:space="0"/>
              <w:top w:val="single" w:color="000000" w:sz="4" w:space="0"/>
              <w:right w:val="single" w:color="000000" w:sz="4" w:space="0"/>
              <w:bottom w:val="single" w:color="000000" w:sz="4" w:space="0"/>
            </w:tcBorders>
            <w:tcW w:w="31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Улавливание и хранение углерода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Энергия возобновляемых источников энергии, в т.ч. биомассы, ветра, волн и приливов</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Хранение энергии и дистрибуция</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Водородная энергетика</w:t>
            </w:r>
            <w:r/>
          </w:p>
        </w:tc>
      </w:tr>
      <w:tr>
        <w:trPr>
          <w:jc w:val="center"/>
        </w:trPr>
        <w:tc>
          <w:tcPr>
            <w:tcBorders>
              <w:left w:val="single" w:color="000000" w:sz="4" w:space="0"/>
              <w:top w:val="single" w:color="000000" w:sz="4" w:space="0"/>
              <w:right w:val="single" w:color="000000" w:sz="4" w:space="0"/>
              <w:bottom w:val="single" w:color="000000" w:sz="4" w:space="0"/>
            </w:tcBorders>
            <w:tcW w:w="1440"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3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Сервисы и управление в цепочках поставок</w:t>
            </w:r>
            <w:r/>
          </w:p>
        </w:tc>
        <w:tc>
          <w:tcPr>
            <w:tcBorders>
              <w:left w:val="single" w:color="000000" w:sz="4" w:space="0"/>
              <w:top w:val="single" w:color="000000" w:sz="4" w:space="0"/>
              <w:right w:val="single" w:color="000000" w:sz="4" w:space="0"/>
              <w:bottom w:val="single" w:color="000000" w:sz="4" w:space="0"/>
            </w:tcBorders>
            <w:tcW w:w="31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Нефтехимия, в том числе малая</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Цифровые услуги, в том числе в области строительства и логистики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Передовые технологии производства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Переработка отходов</w:t>
            </w:r>
            <w:r/>
          </w:p>
        </w:tc>
        <w:tc>
          <w:tcPr>
            <w:tcBorders>
              <w:left w:val="single" w:color="000000" w:sz="4" w:space="0"/>
              <w:top w:val="single" w:color="000000" w:sz="4" w:space="0"/>
              <w:right w:val="single" w:color="000000" w:sz="4" w:space="0"/>
              <w:bottom w:val="single" w:color="000000" w:sz="4" w:space="0"/>
            </w:tcBorders>
            <w:tcW w:w="31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Строительство</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ИКТ</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Транспортировка и хранение</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Промышленность</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Ремонт</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Передовые технологии производства</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кластера инжиниринга, технологических услуг и цифровых сервисов для энергетических компаний;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условий для появления предприятий глубокой переработки сырья, включая передовую промышленную инфраструктуру;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технологического кластера в сфере новой и альтернативной энергетики (специализации: ядерные технологии, фотовольта</w:t>
      </w:r>
      <w:r>
        <w:rPr>
          <w:rFonts w:ascii="Arial" w:hAnsi="Arial" w:cs="Arial" w:eastAsia="Arial"/>
          <w:sz w:val="20"/>
          <w:szCs w:val="20"/>
          <w:lang w:val="ru-RU" w:bidi="ru-RU"/>
        </w:rPr>
        <w:t xml:space="preserve">ика, накопители энергии, умные сети, автономные энергетические комплексы, а также пилотные проекты в сфере водородной энергетики), в т.ч. создание выгодных условий для привлечения в кластер внешних инвесторов, в формате инновационно-технологической долины;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отраслевы</w:t>
      </w:r>
      <w:r>
        <w:rPr>
          <w:rFonts w:ascii="Arial" w:hAnsi="Arial" w:cs="Arial" w:eastAsia="Arial"/>
          <w:sz w:val="20"/>
          <w:szCs w:val="20"/>
          <w:lang w:val="ru-RU" w:bidi="ru-RU"/>
        </w:rPr>
        <w:t xml:space="preserve">х технологических консорциумов, совместных с бизнесом программ инновационного развития (КНТП/КПНИ &lt;19&gt;) и центров компетенций по приоритетным направлениям технологического развития топливно-энергетического комплекса, отмеченным в таблице выше. В частности: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Центра передовой ядерной и водородной энергетики (совместно с ПАО "Газпром", ГК "Росатом" и образовательными организациями высшего образования региона как пилотный проект);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Центра цифровой и интеллектуальной энергетики;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Центра и испытательного полигона в сфере ТРИЗ (полигона "Палеозой" - технологической площадки для научно-исследовательских работ, испытаний и масштабир</w:t>
      </w:r>
      <w:r>
        <w:rPr>
          <w:rFonts w:ascii="Arial" w:hAnsi="Arial" w:cs="Arial" w:eastAsia="Arial"/>
          <w:sz w:val="20"/>
          <w:szCs w:val="20"/>
          <w:lang w:val="ru-RU" w:bidi="ru-RU"/>
        </w:rPr>
        <w:t xml:space="preserve">ования новых технологических решений по поиску, оценке и добыче трудноизвлекаемых запасов доюрского комплекса, а также реализации кадровой программы по подготовке ESE-специалистов ("entrepreneur-scientist-engineer"/"предприниматель-исследователь-инженер");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Центра малотоннажной химии;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&lt;19&gt; КНТП - Комплексная научно-техническая программа; КПНИ - Комплексный план научных исследований</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межрегионально</w:t>
      </w:r>
      <w:r>
        <w:rPr>
          <w:rFonts w:ascii="Arial" w:hAnsi="Arial" w:cs="Arial" w:eastAsia="Arial"/>
          <w:sz w:val="20"/>
          <w:szCs w:val="20"/>
          <w:lang w:val="ru-RU" w:bidi="ru-RU"/>
        </w:rPr>
        <w:t xml:space="preserve">й сети научно-образовательных организаций; обеспечение реализации федерально значимой программы исследований и разработок в интересах индустрии в области технологий разведки и добычи трудноизвлекаемых запасов нефти (технологический проект "Палеозой" &lt;20&gt;).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&lt;20&gt; Технологический проект "Палеозой" реализу</w:t>
      </w:r>
      <w:r>
        <w:rPr>
          <w:rFonts w:ascii="Arial" w:hAnsi="Arial" w:cs="Arial" w:eastAsia="Arial"/>
          <w:sz w:val="20"/>
          <w:szCs w:val="20"/>
          <w:lang w:val="ru-RU" w:bidi="ru-RU"/>
        </w:rPr>
        <w:t xml:space="preserve">ется совместно с ПАО "Газпром нефть" на базе ТПУ в целях разработки комплекса технологий поиска потенциально продуктивных объектов в отложениях доюрского комплекса Томской области и обеспечения стабилизации уровня добычи и воспроизводства запасов в регионе</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 расширение возможностей получения промышленными предприятиями кредитных ресурсов на долгосрочный период (срок от 5 до 7 лет) под "низкие" проценты, в том числе через программы регионального Фонда развития промышленности;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w:t>
      </w:r>
      <w:r>
        <w:rPr>
          <w:rFonts w:ascii="Arial" w:hAnsi="Arial" w:cs="Arial" w:eastAsia="Arial"/>
          <w:sz w:val="20"/>
          <w:szCs w:val="20"/>
          <w:lang w:val="ru-RU" w:bidi="ru-RU"/>
        </w:rPr>
        <w:t xml:space="preserve">держка создания и роста малых инновационных предприятий (МИП) в контуре ведущих образовательных организаций высшего образования Томской области, осуществляющих технологические разработки в соответствии с задачами и интересами нефтегазодобывающей индустрии;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развития инновационного, цифрового и платформенного бизнеса в сфере новых энергетических 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передовой цифровой инфраструктуры, банка цифровых моделей, доступных для разработчиков сервисов и приложений;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системы взаимодействия малых технологических компаний с крупными заказчиками, модели открытой и взаимовыгодной деловой кооперации;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производственно-технологической и</w:t>
      </w:r>
      <w:r>
        <w:rPr>
          <w:rFonts w:ascii="Arial" w:hAnsi="Arial" w:cs="Arial" w:eastAsia="Arial"/>
          <w:sz w:val="20"/>
          <w:szCs w:val="20"/>
          <w:lang w:val="ru-RU" w:bidi="ru-RU"/>
        </w:rPr>
        <w:t xml:space="preserve">нфраструктуры (многофункционального промышленного технопарка высоких технологий с набором специализированных услуг) для локализации производств глубокой переработки газа и нефти как приоритетного направления развития ОЭЗ ТВТ "Томск" и ТОСЭР ЗАТО "Северск";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организация поддержки развития коопераций компаний, специализирующихся на неядерных направлениях в рамках ТОСЭР ЗАТО "Северск".</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Развитие кластера в сфере малотоннажной химии, нефтехимии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фторидных технологий</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Химическая и нефтехимическая промышленность Томской области является одной</w:t>
      </w:r>
      <w:r>
        <w:rPr>
          <w:rFonts w:ascii="Arial" w:hAnsi="Arial" w:cs="Arial" w:eastAsia="Arial"/>
          <w:sz w:val="20"/>
          <w:szCs w:val="20"/>
          <w:lang w:val="ru-RU" w:bidi="ru-RU"/>
        </w:rPr>
        <w:t xml:space="preserve"> из ключевых отраслей в структуре экономики региона. На территории региона с 2015 г. был сформирован нефтехимический кластер, ключевыми участниками которого являются: ПАО "СИБУР", ПАО "Газпром", ООО "Газпром Метанол", ООО "Томскнефтехим", ООО "БИАКСПЛЕН Т"</w:t>
      </w:r>
      <w:r>
        <w:rPr>
          <w:rFonts w:ascii="Arial" w:hAnsi="Arial" w:cs="Arial" w:eastAsia="Arial"/>
          <w:sz w:val="20"/>
          <w:szCs w:val="20"/>
          <w:lang w:val="ru-RU" w:bidi="ru-RU"/>
        </w:rPr>
        <w:t xml:space="preserve">, ООО "Криогенмаш-газ", ООО НПО "РеаСиб", ООО "НИОСТ" (число занятых достигает 2,4 тыс. чел.). Кластер включает в себя большой перечень производственных объектов на всех стадиях и этапах нефтегазодобывающего и перерабатывающего производства. Суммарный годо</w:t>
      </w:r>
      <w:r>
        <w:rPr>
          <w:rFonts w:ascii="Arial" w:hAnsi="Arial" w:cs="Arial" w:eastAsia="Arial"/>
          <w:sz w:val="20"/>
          <w:szCs w:val="20"/>
          <w:lang w:val="ru-RU" w:bidi="ru-RU"/>
        </w:rPr>
        <w:t xml:space="preserve">вой объем нефти, перерабатываемой томскими нефтеперерабатывающими заводами, составляет более 1 млн тонн в год. Внешнеторговый оборот за 2019 г. продукцией нефтегазохимии составил 31,9 млн долл. Основной экспорт осуществляется в более чем три десятка стран.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Предприятия региона инвестировали в поиск новых технологий, способных минимизировать нестабильность и риски, возникающие на мировом рынке. Образовательн</w:t>
      </w:r>
      <w:r>
        <w:rPr>
          <w:rFonts w:ascii="Arial" w:hAnsi="Arial" w:cs="Arial" w:eastAsia="Arial"/>
          <w:sz w:val="20"/>
          <w:szCs w:val="20"/>
          <w:lang w:val="ru-RU" w:bidi="ru-RU"/>
        </w:rPr>
        <w:t xml:space="preserve">ыми организациями высшего образования и научными организациями Томской области к настоящему времени накоплен существенный научно-исследовательский потенциал по специализации новой химии. Это позволило создать следующие заделы по перспективным направлениям: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 Томске впервые в России начато производство антипиренов, антигорючих веществ. В лаборатории органического синтеза (ЛОС) ТГУ было разработано более десятка регламентов синтеза безгалогеновых антипиренов.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 стадии реали</w:t>
      </w:r>
      <w:r>
        <w:rPr>
          <w:rFonts w:ascii="Arial" w:hAnsi="Arial" w:cs="Arial" w:eastAsia="Arial"/>
          <w:sz w:val="20"/>
          <w:szCs w:val="20"/>
          <w:lang w:val="ru-RU" w:bidi="ru-RU"/>
        </w:rPr>
        <w:t xml:space="preserve">зации находится проект резидента ТОСЭР "Северск" ООО "Сибирский титан" по созданию производства пигментного диоксида титана мощностью 10 тыс. тонн/год. Разработана технология производства, создана опытно-промышленная установка, на которой проводятся НИОКР.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Компания ООО "ТомскАзот" готовится к запуску производства азотных удобрений. По проекту создано промышленное производство аммиачной селитры (нитрата аммония) мощностью 11 тыс. тонн в год для нужд сельского хозяйства и промышленности.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Сформирован портфель проектов по разработке передовых технологий в области нефтехимии (свойства горения высокоплотных топлив в условиях высоких динамических давлений (ТГУ</w:t>
      </w:r>
      <w:r>
        <w:rPr>
          <w:rFonts w:ascii="Arial" w:hAnsi="Arial" w:cs="Arial" w:eastAsia="Arial"/>
          <w:sz w:val="20"/>
          <w:szCs w:val="20"/>
          <w:lang w:val="ru-RU" w:bidi="ru-RU"/>
        </w:rPr>
        <w:t xml:space="preserve">); производство безгалогенных антипиренов (ООО "Новохим") и хозяйственно-бытовых изделий из пластмасс на площадке "Северная" ("Авангард"); проект "Металлоорганические соединения" (СИБУР (Томскнефтехим, НИОСТ)); проект "Этан" (СИБУР (Томскнефтехим, НИОСТ)).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Дальнейшему развитию кластера будет способствовать комплекс мероприятий, включающий: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Центра малотоннажной химии с планируемым участием ПАО "СИБУР Холдинг", направленного на отработку перспективных технологий производства биоразлагаемого полимера, фторполимерных композитов, производства ПА</w:t>
      </w:r>
      <w:r>
        <w:rPr>
          <w:rFonts w:ascii="Arial" w:hAnsi="Arial" w:cs="Arial" w:eastAsia="Arial"/>
          <w:sz w:val="20"/>
          <w:szCs w:val="20"/>
          <w:lang w:val="ru-RU" w:bidi="ru-RU"/>
        </w:rPr>
        <w:t xml:space="preserve">В-полимеров, переработки фторполимерных материалов и создания нетканых мембран, ОПР по применению кислотных фторсодержащих составов на месторождениях, безгалогеновых антипиренов, высокоэффективных адсорбентов осушителей на основе оксида кремния и алюминия.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научной инфраструкт</w:t>
      </w:r>
      <w:r>
        <w:rPr>
          <w:rFonts w:ascii="Arial" w:hAnsi="Arial" w:cs="Arial" w:eastAsia="Arial"/>
          <w:sz w:val="20"/>
          <w:szCs w:val="20"/>
          <w:lang w:val="ru-RU" w:bidi="ru-RU"/>
        </w:rPr>
        <w:t xml:space="preserve">уры в области химии за счет расширения приборного парка, включая аналитическое оборудование с сервисным обслуживанием, организацию доступа для всех научных коллективов в формате Центра коллективного пользования, приобретение уникальных единиц оборудования.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сервисной инфраструктуры на базе химического и инжинирингового парка (на территории северной площадки ОЭЗ ТВТ "Томск"), включая инженерную, таможенную и транспортную инфраструктуру, административно-производственные и офисные объекты.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Завершение модернизации и технического перевооружения производства метанола ООО "Газпром Метанол".</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в ТОСЭ</w:t>
      </w:r>
      <w:r>
        <w:rPr>
          <w:rFonts w:ascii="Arial" w:hAnsi="Arial" w:cs="Arial" w:eastAsia="Arial"/>
          <w:sz w:val="20"/>
          <w:szCs w:val="20"/>
          <w:lang w:val="ru-RU" w:bidi="ru-RU"/>
        </w:rPr>
        <w:t xml:space="preserve">Р "Северск" производства в области фторидных технологий, производства коммерчески привлекательных фторсодержащих продуктов из вторичного техногенного сырья, создание производства электролитов для химических источников тока на основе гексафторфосфата лития.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Развитие кластера позволит региону наряду со зрелым центром крупнотоннажной химии создать центр новых материалов и инновационного инжиниринга в сфере малотоннажной химии и разработки инновационных продуктов конечного применения.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Развитие лесопромышленного комплекса региона с учетом</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создания кластерных проектов по производству конечной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экспортно ориентированной продукции из древесины</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Последние несколько лет лесной бизнес активно развивался, сектор стал одним из локомотивов для Томской области, от которого сегодня зависит целый ряд макроэкономических параметров, стаби</w:t>
      </w:r>
      <w:r>
        <w:rPr>
          <w:rFonts w:ascii="Arial" w:hAnsi="Arial" w:cs="Arial" w:eastAsia="Arial"/>
          <w:sz w:val="20"/>
          <w:szCs w:val="20"/>
          <w:lang w:val="ru-RU" w:bidi="ru-RU"/>
        </w:rPr>
        <w:t xml:space="preserve">льность экспортных поставок, рабочие места. Относительная стабильность сектора в связи с кризисом 2020 года носит "отложенный характер". В период нестабильности отрасль столкнулась с дефицитом инвестиций, сокращением возможностей вкладываться в новые проек</w:t>
      </w:r>
      <w:r>
        <w:rPr>
          <w:rFonts w:ascii="Arial" w:hAnsi="Arial" w:cs="Arial" w:eastAsia="Arial"/>
          <w:sz w:val="20"/>
          <w:szCs w:val="20"/>
          <w:lang w:val="ru-RU" w:bidi="ru-RU"/>
        </w:rPr>
        <w:t xml:space="preserve">ты, ростом рисков устойчивости для бизнеса, в том числе для малых и микропредприятий в силу низкого уровня резервирования оборотных средств. Для выхода на новые и высокотехнологичные рынки с новыми продуктами у компаний отрасли недостаточно собственных рес</w:t>
      </w:r>
      <w:r>
        <w:rPr>
          <w:rFonts w:ascii="Arial" w:hAnsi="Arial" w:cs="Arial" w:eastAsia="Arial"/>
          <w:sz w:val="20"/>
          <w:szCs w:val="20"/>
          <w:lang w:val="ru-RU" w:bidi="ru-RU"/>
        </w:rPr>
        <w:t xml:space="preserve">урсов, технологий и компетенций. Предприятия отрасли испытывают сложности с диверсификацией, переобучением персонала, поиском новых партнеров и рынков, в том числе оказались не готовы к переходу в систему виртуальной деловой коммуникации. Сектору необходим</w:t>
      </w:r>
      <w:r>
        <w:rPr>
          <w:rFonts w:ascii="Arial" w:hAnsi="Arial" w:cs="Arial" w:eastAsia="Arial"/>
          <w:sz w:val="20"/>
          <w:szCs w:val="20"/>
          <w:lang w:val="ru-RU" w:bidi="ru-RU"/>
        </w:rPr>
        <w:t xml:space="preserve">ы изменения стратегического характера с учетом длительных темпов восстановления традиционных рынков на докризисный уровень (до 2024 года) и начавшейся глобальной перестройкой цепочек поставок с выбытием наименее конкурентоспособных и технологичных игроков.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дальнейшего развития сектора необходимо преодолеть стратегические ограничения развития лесной отрасли в Томской области: высокую консервативность комп</w:t>
      </w:r>
      <w:r>
        <w:rPr>
          <w:rFonts w:ascii="Arial" w:hAnsi="Arial" w:cs="Arial" w:eastAsia="Arial"/>
          <w:sz w:val="20"/>
          <w:szCs w:val="20"/>
          <w:lang w:val="ru-RU" w:bidi="ru-RU"/>
        </w:rPr>
        <w:t xml:space="preserve">аний - перейти к новому уровню принятия перспективных управленческих решений; высокую капиталоемкость - перейти на максимальный уровень внедрения цифровых операционных технологий и управленческих инноваций; низкий уровень технологичности передела в цепочка</w:t>
      </w:r>
      <w:r>
        <w:rPr>
          <w:rFonts w:ascii="Arial" w:hAnsi="Arial" w:cs="Arial" w:eastAsia="Arial"/>
          <w:sz w:val="20"/>
          <w:szCs w:val="20"/>
          <w:lang w:val="ru-RU" w:bidi="ru-RU"/>
        </w:rPr>
        <w:t xml:space="preserve">х добавленной стоимости - перейти к производству широкой номенклатуры продукции высоких переделов для различных рынков, что позволит в том числе снизить цену транспортировки на единицу экспортируемой продукции и снизить влияние на сектор сезонного фактора.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Мероприятия поддержки и развития сектора до 2030 год</w:t>
      </w:r>
      <w:r>
        <w:rPr>
          <w:rFonts w:ascii="Arial" w:hAnsi="Arial" w:cs="Arial" w:eastAsia="Arial"/>
          <w:sz w:val="20"/>
          <w:szCs w:val="20"/>
          <w:lang w:val="ru-RU" w:bidi="ru-RU"/>
        </w:rPr>
        <w:t xml:space="preserve">а должны быть направлены на наращивание производственного и экспортного потенциала в сфере наиболее перспективных для региона направлений в период восстановительного роста (2021 - 2024 гг.). Согласно сводным оценкам потенциала товарных групп, производимых </w:t>
      </w:r>
      <w:r>
        <w:rPr>
          <w:rFonts w:ascii="Arial" w:hAnsi="Arial" w:cs="Arial" w:eastAsia="Arial"/>
          <w:sz w:val="20"/>
          <w:szCs w:val="20"/>
          <w:lang w:val="ru-RU" w:bidi="ru-RU"/>
        </w:rPr>
        <w:t xml:space="preserve">предприятиями Томской области, такими направлениями являются производство продуктов глубокой переработки древесины, в том числе на основе биотехнологий. Также необходимо учитывать мероприятия по защите ЛПК в целом в период описанных выше кризисных явлений.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направления развития в лесопромышленного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Мероприятия по антикризисной стабилизации сектора в период нестабильности мировой экономики и основных экспортных ры</w:t>
      </w:r>
      <w:r>
        <w:rPr>
          <w:rFonts w:ascii="Arial" w:hAnsi="Arial" w:cs="Arial" w:eastAsia="Arial"/>
          <w:sz w:val="20"/>
          <w:szCs w:val="20"/>
          <w:lang w:val="ru-RU" w:bidi="ru-RU"/>
        </w:rPr>
        <w:t xml:space="preserve">нков. Меры должны быть направлены на поддержку ликвидности и стабильности участников сектора и быть согласованы с региональным планом стабилизации деловой активности (кризис ликвидности, по мнению участников рынка, позволит преодолеть предоставление беспро</w:t>
      </w:r>
      <w:r>
        <w:rPr>
          <w:rFonts w:ascii="Arial" w:hAnsi="Arial" w:cs="Arial" w:eastAsia="Arial"/>
          <w:sz w:val="20"/>
          <w:szCs w:val="20"/>
          <w:lang w:val="ru-RU" w:bidi="ru-RU"/>
        </w:rPr>
        <w:t xml:space="preserve">центных кредитов или частичное субсидирование покупки лесозаготовительной техники; субсидирование заработных плат; введение отсрочек по уплате инвестиционных платежей (инвестиционные каникулы); заморозка предстоящих налоговых и таможенных платежей; налогов</w:t>
      </w:r>
      <w:r>
        <w:rPr>
          <w:rFonts w:ascii="Arial" w:hAnsi="Arial" w:cs="Arial" w:eastAsia="Arial"/>
          <w:sz w:val="20"/>
          <w:szCs w:val="20"/>
          <w:lang w:val="ru-RU" w:bidi="ru-RU"/>
        </w:rPr>
        <w:t xml:space="preserve">ые каникулы. Для предприятий, оказавшихся в наиболее сложной ситуации, - выдача льготных кредитов по покрытию кредиторской задолженности перед поставщиками; отмена/заморозка арендных платежей за пользование лесными ресурсами по согласованию с Рослесхозом).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производств по глубокой переработке древесины, в том числе проработка вопроса о перспективности создания целлюлозно-бумажного комбината.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w:t>
      </w:r>
      <w:r>
        <w:rPr>
          <w:rFonts w:ascii="Arial" w:hAnsi="Arial" w:cs="Arial" w:eastAsia="Arial"/>
          <w:sz w:val="20"/>
          <w:szCs w:val="20"/>
          <w:lang w:val="ru-RU" w:bidi="ru-RU"/>
        </w:rPr>
        <w:t xml:space="preserve">м совместного организационного обучения сотрудников компаний ЛПК (участников кластера) в контексте изменений мирового лесного и деревообрабатывающего бизнеса, помощь бизнесу в осуществлении управленческого и кадрового перехода на качественно новый уровень.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Разработка и реализация плана рыночной экспансии лесопромышленного комплекса до 2030 года, завоевание новых</w:t>
      </w:r>
      <w:r>
        <w:rPr>
          <w:rFonts w:ascii="Arial" w:hAnsi="Arial" w:cs="Arial" w:eastAsia="Arial"/>
          <w:sz w:val="20"/>
          <w:szCs w:val="20"/>
          <w:lang w:val="ru-RU" w:bidi="ru-RU"/>
        </w:rPr>
        <w:t xml:space="preserve"> географических и продуктовых ниш в условиях новых рыночных тенденций, "виртуализации" и "регионализации" рынков (виртуальные бизнес-миссии и проведение конференций поставщиков, направленных на расширение географии присутствия предприятий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создания отраслевых технологических консорциумов, центров компетенций, дизайн-центров и лабораторий по направлениям</w:t>
      </w:r>
      <w:r>
        <w:rPr>
          <w:rFonts w:ascii="Arial" w:hAnsi="Arial" w:cs="Arial" w:eastAsia="Arial"/>
          <w:sz w:val="20"/>
          <w:szCs w:val="20"/>
          <w:lang w:val="ru-RU" w:bidi="ru-RU"/>
        </w:rPr>
        <w:t xml:space="preserve">: производство мебели, лесобиохимия, безотходное производство. Особый формат поддержки должны получить консорциумы формата "наука-бизнес" с вовлечением НИИ, проектных организаций и образовательных организаций высшего образования в решение отраслевых задач.</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Стимулирование бизнеса </w:t>
      </w:r>
      <w:r>
        <w:rPr>
          <w:rFonts w:ascii="Arial" w:hAnsi="Arial" w:cs="Arial" w:eastAsia="Arial"/>
          <w:sz w:val="20"/>
          <w:szCs w:val="20"/>
          <w:lang w:val="ru-RU" w:bidi="ru-RU"/>
        </w:rPr>
        <w:t xml:space="preserve">по переходу на цифровые операционные технологии и управленческие инновации без замены дорогостоящего оборудования (внедрение гибких цехов, дизайн-центров и других современных форматов организации производств, переобучение инженерно-технических работников).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цифровой инфраструктуры открытых данных по лесным ресурсам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Стимулирование открытия на территории Томской области сервисных центров поставщиков оборудования и техники для лесной отрасли, выполняющих функции продаж и обучения.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Мероприятия по организации сертификации и эффективной логистике продукции ЛПК на</w:t>
      </w:r>
      <w:r>
        <w:rPr>
          <w:rFonts w:ascii="Arial" w:hAnsi="Arial" w:cs="Arial" w:eastAsia="Arial"/>
          <w:sz w:val="20"/>
          <w:szCs w:val="20"/>
          <w:lang w:val="ru-RU" w:bidi="ru-RU"/>
        </w:rPr>
        <w:t xml:space="preserve"> новые рынки (в частности Южной Кореи, Японии) с учетом особенностей, связанных с ограниченными возможностями хранения на территории этих стран (малые складские помещения и др.), для развития связей по новым перспективным для региона направлениям экспорта.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Проработка перспективно</w:t>
      </w:r>
      <w:r>
        <w:rPr>
          <w:rFonts w:ascii="Arial" w:hAnsi="Arial" w:cs="Arial" w:eastAsia="Arial"/>
          <w:sz w:val="20"/>
          <w:szCs w:val="20"/>
          <w:lang w:val="ru-RU" w:bidi="ru-RU"/>
        </w:rPr>
        <w:t xml:space="preserve">й модели поддержки предприятий лесной промышленности, ориентированной на стимулирование повышения глубины переработки с учетом возможности в перспективе 4 - 6 лет введения новых стандартов качества продукции и экологических стандартов на профильных рынках.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Минимизация внутриотраслевых затрат за счет кооперации для обеспечения роста доходности предприятий лесной промышленности.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Межведомственная (на уровне органов исполнительной власти) и межотраслевая (на уровне предприятий) координация планов с выбором инструментов поддержки с учетом специфики конкретного межведомственного проекта.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Развитие кластера инновационных продуктов в сфере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функционального и здорового питания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Пищевая промышленность Томской области демонстрирует активный рост (рост индекса промышленного производства в 2019 г</w:t>
      </w:r>
      <w:r>
        <w:rPr>
          <w:rFonts w:ascii="Arial" w:hAnsi="Arial" w:cs="Arial" w:eastAsia="Arial"/>
          <w:sz w:val="20"/>
          <w:szCs w:val="20"/>
          <w:lang w:val="ru-RU" w:bidi="ru-RU"/>
        </w:rPr>
        <w:t xml:space="preserve">. составил 117,9%). Крупнейшими региональными производителями поставляется широкий портфель продукции: мясо убойных животных и птицы, питьевое молоко и сливки, мука из зерновых культур, хлебобулочные и кондитерские изделия, мороженое, соки из фруктов и ово</w:t>
      </w:r>
      <w:r>
        <w:rPr>
          <w:rFonts w:ascii="Arial" w:hAnsi="Arial" w:cs="Arial" w:eastAsia="Arial"/>
          <w:sz w:val="20"/>
          <w:szCs w:val="20"/>
          <w:lang w:val="ru-RU" w:bidi="ru-RU"/>
        </w:rPr>
        <w:t xml:space="preserve">щей, пиво и др. За счет реализации инвестиционных проектов компаний в перспективе ближайших лет ожидается рост производства рапсового масла, экспортные поставки свинины, расширение глубокой переработки орехов, ягод, снековой продукции из местных видов рыб.</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Одним из самых динамично развивающихся сегментов является сфера заготовок дикорастущего с</w:t>
      </w:r>
      <w:r>
        <w:rPr>
          <w:rFonts w:ascii="Arial" w:hAnsi="Arial" w:cs="Arial" w:eastAsia="Arial"/>
          <w:sz w:val="20"/>
          <w:szCs w:val="20"/>
          <w:lang w:val="ru-RU" w:bidi="ru-RU"/>
        </w:rPr>
        <w:t xml:space="preserve">ырья (дикоросов). В 2019 году произведено 32,4 тыс. тонн продукции - произошло увеличение в 4,2 раза к уровню 2014 г. Объем инвестиций в сектор составил 198 млн рублей. В общем объеме выпуска пищевой продукции продукция из дикоросов составляет более 13%. П</w:t>
      </w:r>
      <w:r>
        <w:rPr>
          <w:rFonts w:ascii="Arial" w:hAnsi="Arial" w:cs="Arial" w:eastAsia="Arial"/>
          <w:sz w:val="20"/>
          <w:szCs w:val="20"/>
          <w:lang w:val="ru-RU" w:bidi="ru-RU"/>
        </w:rPr>
        <w:t xml:space="preserve">о объемам заготовки и переработки дикоросов Томская область занимает ведущее положение в Сибири и является одним из лидеров России. Регион производит более 1000 наименований продукции на основе дикорастущего сырья, треть которой имеет статус инновационной.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Патентный портфел</w:t>
      </w:r>
      <w:r>
        <w:rPr>
          <w:rFonts w:ascii="Arial" w:hAnsi="Arial" w:cs="Arial" w:eastAsia="Arial"/>
          <w:sz w:val="20"/>
          <w:szCs w:val="20"/>
          <w:lang w:val="ru-RU" w:bidi="ru-RU"/>
        </w:rPr>
        <w:t xml:space="preserve">ь ведущих компаний пищевой промышленности региона представлен 60 защищенными патентами технологий. Региональными лидерами инновационного развития являются компании "Артлайф", "Солагифт", "САВА", которые совместно с томскими образовательными организациями в</w:t>
      </w:r>
      <w:r>
        <w:rPr>
          <w:rFonts w:ascii="Arial" w:hAnsi="Arial" w:cs="Arial" w:eastAsia="Arial"/>
          <w:sz w:val="20"/>
          <w:szCs w:val="20"/>
          <w:lang w:val="ru-RU" w:bidi="ru-RU"/>
        </w:rPr>
        <w:t xml:space="preserve">ысшего образования разрабатывают и производят целый ряд продуктов функционального персонифицированного питания: соки и нектары из сибирских ягод с пектином (применяются на производстве с вредными условиями труда), инулином, без сахара (для детей и страдающ</w:t>
      </w:r>
      <w:r>
        <w:rPr>
          <w:rFonts w:ascii="Arial" w:hAnsi="Arial" w:cs="Arial" w:eastAsia="Arial"/>
          <w:sz w:val="20"/>
          <w:szCs w:val="20"/>
          <w:lang w:val="ru-RU" w:bidi="ru-RU"/>
        </w:rPr>
        <w:t xml:space="preserve">их сахарным диабетом), с повышенным энергетическим потенциалом (при высоких спортивных нагрузках), кедровое молоко и сливки, фитококтейли и напитки с клеточным соком пихты сибирской (для повышения иммунитета), а также биоэффективы различной направленности.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Дальнейшее развитие накопленного потенциала и укрепление лидерских позиций региона в сегменте здорового питания возможны за счет повышения кластерной кооперации производителей. Це</w:t>
      </w:r>
      <w:r>
        <w:rPr>
          <w:rFonts w:ascii="Arial" w:hAnsi="Arial" w:cs="Arial" w:eastAsia="Arial"/>
          <w:sz w:val="20"/>
          <w:szCs w:val="20"/>
          <w:lang w:val="ru-RU" w:bidi="ru-RU"/>
        </w:rPr>
        <w:t xml:space="preserve">лью формирования кластера станет повышение глубины переработки сельскохозяйственной продукции, включая рыбное производство и переработку дикорастущего сырья, и выход на новые быстро развивающиеся продуктовые рынки высоких переделов. Наиболее перспективными</w:t>
      </w:r>
      <w:r>
        <w:rPr>
          <w:rFonts w:ascii="Arial" w:hAnsi="Arial" w:cs="Arial" w:eastAsia="Arial"/>
          <w:sz w:val="20"/>
          <w:szCs w:val="20"/>
          <w:lang w:val="ru-RU" w:bidi="ru-RU"/>
        </w:rPr>
        <w:t xml:space="preserve"> являются рынки органических, персонализированных, функциональных продуктов питания ("суперфуды"), продукты-заменители (молокоподобные продукты, заменители белка, синтетические продукты), которые могут быть произведены с использованием уникальных биологиче</w:t>
      </w:r>
      <w:r>
        <w:rPr>
          <w:rFonts w:ascii="Arial" w:hAnsi="Arial" w:cs="Arial" w:eastAsia="Arial"/>
          <w:sz w:val="20"/>
          <w:szCs w:val="20"/>
          <w:lang w:val="ru-RU" w:bidi="ru-RU"/>
        </w:rPr>
        <w:t xml:space="preserve">ских ресурсов и технологий (к примеру, проект по производству овсяного молока, реализованный в 2020 году). Кроме того, перспективным направлением специализации региона является производство продукции с использованием дикорастущего сырья, в том числе функци</w:t>
      </w:r>
      <w:r>
        <w:rPr>
          <w:rFonts w:ascii="Arial" w:hAnsi="Arial" w:cs="Arial" w:eastAsia="Arial"/>
          <w:sz w:val="20"/>
          <w:szCs w:val="20"/>
          <w:lang w:val="ru-RU" w:bidi="ru-RU"/>
        </w:rPr>
        <w:t xml:space="preserve">ональных здоровьесберегающих продуктов питания на основе дикоросов, а также использование научного потенциала образовательных организаций высшего образования, академической науки для создания технологий глубокой переработки природных растительных ресурсов.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достижения целей формирования кластера потребуется реализация комплекса мероприятий: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программы разработки и продвижения органических и функциональных продуктов питания с ориентацией на вывод инновационных продуктов на отечественный и внешние рынки.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программ организационного обучения по ключевым направлениям развития бизнеса для предприятий пищевой промышленности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кооперационных проектов.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малых инновационных компаний (в том числе временная протекция, введение преимуществ при государственных закупках).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экспортного роста компаний на перспективных рынках (например, разрешение экспортных поставок кедрового ореха и экстракта чаги, вывозимых в настоящее время как сырье).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сертификации продукции по высоким стандартам качества.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Популяризация здорового питания, реализация программ по продвижению здорового потребления среди жителей, в том числе детей и молодежи, программ здорового питания для школьников.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потребителей по покупке экологической продукции, здорового питания, поскольку потребление молочной продукции снизилось относительно медицинской нормы, необходима популяризация молочной продукции, в том числе для сохранения здоровья.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Мероприятия по продвижению домашней гастрономии (вкусное и здоровое домашнее питание), в том числе как замена ресторанной еде и фаст-фуду.</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Развитие новых промышленных кластеров в сфере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высокотехнологичного инжиниринга, микро- и наноэлектроники,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точного машиностроения и производства</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передового оборудования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2020 году отрасль маш</w:t>
      </w:r>
      <w:r>
        <w:rPr>
          <w:rFonts w:ascii="Arial" w:hAnsi="Arial" w:cs="Arial" w:eastAsia="Arial"/>
          <w:sz w:val="20"/>
          <w:szCs w:val="20"/>
          <w:lang w:val="ru-RU" w:bidi="ru-RU"/>
        </w:rPr>
        <w:t xml:space="preserve">иностроения по всей номенклатуре вступила в стадию перестройки основных цепочек стоимости, ускорились тенденции цифровизации, перехода на передовые производственные технологии. Сократился объем экспорта комплектующих деталей для машиностроения, усилилась т</w:t>
      </w:r>
      <w:r>
        <w:rPr>
          <w:rFonts w:ascii="Arial" w:hAnsi="Arial" w:cs="Arial" w:eastAsia="Arial"/>
          <w:sz w:val="20"/>
          <w:szCs w:val="20"/>
          <w:lang w:val="ru-RU" w:bidi="ru-RU"/>
        </w:rPr>
        <w:t xml:space="preserve">енденция к протекционизму международных цепочек. Падение сектора (до 10 - 12%) в связи с кризисными явлениями в экономике в 2020 году, вероятно, сменится восстановительным ростом уже с 2021 года (в диапазоне от 7% до 9%), однако параметры этого восстановле</w:t>
      </w:r>
      <w:r>
        <w:rPr>
          <w:rFonts w:ascii="Arial" w:hAnsi="Arial" w:cs="Arial" w:eastAsia="Arial"/>
          <w:sz w:val="20"/>
          <w:szCs w:val="20"/>
          <w:lang w:val="ru-RU" w:bidi="ru-RU"/>
        </w:rPr>
        <w:t xml:space="preserve">ния будут неоднородны как по регионам-потребителям, так и по основным видам продукции. Наибольшую устойчивость показывают более высокотехнологичные сегменты рынков, рынки 5G, интернет вещей, телекомоборудование, технологические комплектующие и электроника.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Томские компании столкнулись с ситуационным падением спроса, изменением параметров восстановле</w:t>
      </w:r>
      <w:r>
        <w:rPr>
          <w:rFonts w:ascii="Arial" w:hAnsi="Arial" w:cs="Arial" w:eastAsia="Arial"/>
          <w:sz w:val="20"/>
          <w:szCs w:val="20"/>
          <w:lang w:val="ru-RU" w:bidi="ru-RU"/>
        </w:rPr>
        <w:t xml:space="preserve">ния сектора и должны быть поддержаны со стороны региональных органов власти как мероприятиями по сохранению ликвидности, так и мероприятиями по поиску новых рынков. Акцент в политике отраслевой поддержки должен быть сделан на включение томских машиностроит</w:t>
      </w:r>
      <w:r>
        <w:rPr>
          <w:rFonts w:ascii="Arial" w:hAnsi="Arial" w:cs="Arial" w:eastAsia="Arial"/>
          <w:sz w:val="20"/>
          <w:szCs w:val="20"/>
          <w:lang w:val="ru-RU" w:bidi="ru-RU"/>
        </w:rPr>
        <w:t xml:space="preserve">ельных предприятий в развивающиеся гражданские рынки, реализацию планов крупных корпораций, в том числе по импортозамещению, вхождение в новые рынки, в том числе глобального уровня, в качестве поставщика высокотехнологичных решений, сервисов и компонентов.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Мероприятия по антикризисной стабилизации сектора в период нестабильности мировой экономики и основных экспортных рынков, которые должны быть направлены, в том числе на поддержку ликвидности компаний и обеспечение выполнения контрактных обязательств.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программ совместного </w:t>
      </w:r>
      <w:r>
        <w:rPr>
          <w:rFonts w:ascii="Arial" w:hAnsi="Arial" w:cs="Arial" w:eastAsia="Arial"/>
          <w:sz w:val="20"/>
          <w:szCs w:val="20"/>
          <w:lang w:val="ru-RU" w:bidi="ru-RU"/>
        </w:rPr>
        <w:t xml:space="preserve">организационного обучения сотрудников компаний машиностроительного комплекса в контексте изменений цепочек поставок, формирования новых рынков; помощь бизнесу в осуществлении управленческого и кадрового перехода на качественно новый уровень поиска новых ры</w:t>
      </w:r>
      <w:r>
        <w:rPr>
          <w:rFonts w:ascii="Arial" w:hAnsi="Arial" w:cs="Arial" w:eastAsia="Arial"/>
          <w:sz w:val="20"/>
          <w:szCs w:val="20"/>
          <w:lang w:val="ru-RU" w:bidi="ru-RU"/>
        </w:rPr>
        <w:t xml:space="preserve">ночных возможностей, составлении перспективных инвестиционных планов; реализация программы конверсии для предприятий "двойного назначения", ориентированных на создание высокотехнологичной продукции, конкурентоспособной на российском и международных рынках.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3 - 5-летних проектов по кооперации томских предприятий с компания</w:t>
      </w:r>
      <w:r>
        <w:rPr>
          <w:rFonts w:ascii="Arial" w:hAnsi="Arial" w:cs="Arial" w:eastAsia="Arial"/>
          <w:sz w:val="20"/>
          <w:szCs w:val="20"/>
          <w:lang w:val="ru-RU" w:bidi="ru-RU"/>
        </w:rPr>
        <w:t xml:space="preserve">ми - представителями новых географических и продуктовых ниш в условиях "виртуализации" и "регионализации" рынков (к примеру, виртуальные бизнес-миссии и конференции поставщиков, направленные на расширение географии присутствия предприятий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реализации акселерационных программ для разработчиков совместно с крупнейшими технологическими венчурными фондами, в том числе ведущими корпоративными фондами ОАО "РЖД", ПАО "Газпром нефть", НК "Роснефть" и другими.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создания отраслевых технологических консорциумов, инжиниринговых центров, центров компетенций, дизайн-центров и прикладных лабораторий и стимулирование регионального бизнеса по переходу на цифровые операционные технологии.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передовой инфраструктуры коллективного пользования для малых технологических компаний и стартапов, обеспечивающей выполнение индустриальных заказов со стадии НИОКР до промышленных образцов, в том</w:t>
      </w:r>
      <w:r>
        <w:rPr>
          <w:rFonts w:ascii="Arial" w:hAnsi="Arial" w:cs="Arial" w:eastAsia="Arial"/>
          <w:sz w:val="20"/>
          <w:szCs w:val="20"/>
          <w:lang w:val="ru-RU" w:bidi="ru-RU"/>
        </w:rPr>
        <w:t xml:space="preserve"> числе на базе образовательных организаций высшего образования (учебно-производственных центров, онлайн-полигонов, тестовых площадок и т.д.) по направлениям: микроэлектроника; создание радиоэлектронных устройств разного уровня сложности; дизайн-материалов.</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Развитие кластера ядерных технологий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Томской области формируется кластер ядерных технологий, основу которого представляет АО "Сибирский химический комбинат" (входит в Топливную компанию "ТВЭЛ" Госкорп</w:t>
      </w:r>
      <w:r>
        <w:rPr>
          <w:rFonts w:ascii="Arial" w:hAnsi="Arial" w:cs="Arial" w:eastAsia="Arial"/>
          <w:sz w:val="20"/>
          <w:szCs w:val="20"/>
          <w:lang w:val="ru-RU" w:bidi="ru-RU"/>
        </w:rPr>
        <w:t xml:space="preserve">орации "Росатом"). АО "СХК" выпускает продукцию на уровне мировых стандартов для российских и зарубежных потребителей в области использования атомной энергии и является единственным предприятием в отрасли, где производится гексафторид урана для обогащения.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Северске реализуется проект "Прорыв" Госкорпорации "Росатом", в рамках которого на площадке АО "СХК" ведется строительство уникального для мировой атомной отрасли объекта - о</w:t>
      </w:r>
      <w:r>
        <w:rPr>
          <w:rFonts w:ascii="Arial" w:hAnsi="Arial" w:cs="Arial" w:eastAsia="Arial"/>
          <w:sz w:val="20"/>
          <w:szCs w:val="20"/>
          <w:lang w:val="ru-RU" w:bidi="ru-RU"/>
        </w:rPr>
        <w:t xml:space="preserve">пытно-демонстрационного энергокомплекса "БРЕСТ-ОД-300" в составе реактора на быстрых нейтронах с пристанционным ядерным топливным циклом. Общий объем инвестиций в реализацию проекта превышает 100 млрд рублей из средств федерального бюджета и Госкорпорации.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Подготовка и реализация мероприятий проекта "Прорыв".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Совместные мероприятия Госкорпорации "Росатом" с предприятиями, образовательными организациями высшего образования и научными организациями Томской области по развитию неэнергетических и неядерных направлений, вклю</w:t>
      </w:r>
      <w:r>
        <w:rPr>
          <w:rFonts w:ascii="Arial" w:hAnsi="Arial" w:cs="Arial" w:eastAsia="Arial"/>
          <w:sz w:val="20"/>
          <w:szCs w:val="20"/>
          <w:lang w:val="ru-RU" w:bidi="ru-RU"/>
        </w:rPr>
        <w:t xml:space="preserve">чая следующие специализации: ядерная медицина, производство азотных удобрений и разработка фторидных технологий, комплексная переработка концентратов редкоземельных элементов, новые материалы, аддитивные технологии, накопители энергии, цифровые технологии.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томской агломерации как центра практико-ориентированного образования в области яд</w:t>
      </w:r>
      <w:r>
        <w:rPr>
          <w:rFonts w:ascii="Arial" w:hAnsi="Arial" w:cs="Arial" w:eastAsia="Arial"/>
          <w:sz w:val="20"/>
          <w:szCs w:val="20"/>
          <w:lang w:val="ru-RU" w:bidi="ru-RU"/>
        </w:rPr>
        <w:t xml:space="preserve">ерной энергетики, приближенного к площадке реализации проекта "Прорыв", в том числе развитие инфраструктуры и образовательных программ в Северском технологическом институте, образовательных организациях высшего образования, расположенных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Таким образом, к 2030 году будет заложена основа для новой экономической специализации региона, обеспечивающей создание </w:t>
      </w:r>
      <w:r>
        <w:rPr>
          <w:rFonts w:ascii="Arial" w:hAnsi="Arial" w:cs="Arial" w:eastAsia="Arial"/>
          <w:sz w:val="20"/>
          <w:szCs w:val="20"/>
          <w:lang w:val="ru-RU" w:bidi="ru-RU"/>
        </w:rPr>
        <w:t xml:space="preserve">высокопроизводительных рабочих мест и темпы экономического роста на уровне выше среднероссийских. В результате Томская область должна стать лидером в России по основным показателям развития новых промышленных кластеров и топливно-энергетического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мероприятий в рамках настоящей задачи позволит к 2030 г. снизить долю вида экономической деятельности "Добыча полезных ископаемых" в общем объеме про</w:t>
      </w:r>
      <w:r>
        <w:rPr>
          <w:rFonts w:ascii="Arial" w:hAnsi="Arial" w:cs="Arial" w:eastAsia="Arial"/>
          <w:sz w:val="20"/>
          <w:szCs w:val="20"/>
          <w:lang w:val="ru-RU" w:bidi="ru-RU"/>
        </w:rPr>
        <w:t xml:space="preserve">мышленного производства до 32,58% за счет реструктуризации ТЭК и перехода на более высокотехнологичные виды деятельности, нарастить объемы производства по виду экономической деятельности "Обрабатывающие производства" на 82,79% по отношению к уровню 2020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1.2. Обеспечить развитие предпринимательства и рост</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непроизводственных индустрий с фокусом на индустрию</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гостеприимства и креативный сектор</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политики Томской области - обеспечение лучших в Сибири условий для ведения предпринимательской деятельности по приоритетным направлениям регионал</w:t>
      </w:r>
      <w:r>
        <w:rPr>
          <w:rFonts w:ascii="Arial" w:hAnsi="Arial" w:cs="Arial" w:eastAsia="Arial"/>
          <w:sz w:val="20"/>
          <w:szCs w:val="20"/>
          <w:lang w:val="ru-RU" w:bidi="ru-RU"/>
        </w:rPr>
        <w:t xml:space="preserve">ьного развития, в том числе в сфере высоких технологий; поддержка развития конкурентной предпринимательской среды; вовлечение молодежи в предпринимательство, привлечение и удержание активного предпринимательского класса; развитие туризма и городских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Ключевые направления политики по развитию предпринимательства заключаются в обеспечении п</w:t>
      </w:r>
      <w:r>
        <w:rPr>
          <w:rFonts w:ascii="Arial" w:hAnsi="Arial" w:cs="Arial" w:eastAsia="Arial"/>
          <w:sz w:val="20"/>
          <w:szCs w:val="20"/>
          <w:lang w:val="ru-RU" w:bidi="ru-RU"/>
        </w:rPr>
        <w:t xml:space="preserve">ередовой институциональной среды: создании благоприятных условий ведения бизнеса, защите и юридической поддержке предпринимателей, расширении доступа к финансам, акселерации стартапов и новых компаний, а также создаваемых ими продуктов и услуг, популяризац</w:t>
      </w:r>
      <w:r>
        <w:rPr>
          <w:rFonts w:ascii="Arial" w:hAnsi="Arial" w:cs="Arial" w:eastAsia="Arial"/>
          <w:sz w:val="20"/>
          <w:szCs w:val="20"/>
          <w:lang w:val="ru-RU" w:bidi="ru-RU"/>
        </w:rPr>
        <w:t xml:space="preserve">ии предпринимательской деятельности. Предприниматель Томской области в сфере высоких технологий должен получить как ресурс для создания новых инновационных продуктов, так и право на риск, благоприятные условия для поиска новых решений и создания инноваций.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За период 2015 - 2020 годы реализованы проекты по развитию инфраструктуры поддержки МСП, в частности, созданы региональная микрофина</w:t>
      </w:r>
      <w:r>
        <w:rPr>
          <w:rFonts w:ascii="Arial" w:hAnsi="Arial" w:cs="Arial" w:eastAsia="Arial"/>
          <w:sz w:val="20"/>
          <w:szCs w:val="20"/>
          <w:lang w:val="ru-RU" w:bidi="ru-RU"/>
        </w:rPr>
        <w:t xml:space="preserve">нсовая организация для предоставления микрозаймов субъектам МСП и центр "Мой бизнес". Реализуются мероприятия, направленные на увеличение численности занятых в сфере малого и среднего предпринимательства, что в целом соответствуют федеральным инструментам.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части развития непроизводственных индустрий приоритет регионального развития отдается индустрии гостепри</w:t>
      </w:r>
      <w:r>
        <w:rPr>
          <w:rFonts w:ascii="Arial" w:hAnsi="Arial" w:cs="Arial" w:eastAsia="Arial"/>
          <w:sz w:val="20"/>
          <w:szCs w:val="20"/>
          <w:lang w:val="ru-RU" w:bidi="ru-RU"/>
        </w:rPr>
        <w:t xml:space="preserve">имства, формированию современного креативного кластера, включая сектор развлечений (музеи, парки, выставочные комплексы, кино, театр), медиауслуг (в т.ч. цифровых), дизайнерских студий, художественных мастерских, архитектурных бюро, сувенирных производств.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Малый бизнес в Томской области является опорным элемент</w:t>
      </w:r>
      <w:r>
        <w:rPr>
          <w:rFonts w:ascii="Arial" w:hAnsi="Arial" w:cs="Arial" w:eastAsia="Arial"/>
          <w:sz w:val="20"/>
          <w:szCs w:val="20"/>
          <w:lang w:val="ru-RU" w:bidi="ru-RU"/>
        </w:rPr>
        <w:t xml:space="preserve">ом регионального экономического развития, однако его динамика зависит от специфических для региона ограничений и возможностей. К числу ограничений можно отнести малый масштаб внутреннего рынка и слабую интеграцию в соседние рынки крупных мегаполисов, отсут</w:t>
      </w:r>
      <w:r>
        <w:rPr>
          <w:rFonts w:ascii="Arial" w:hAnsi="Arial" w:cs="Arial" w:eastAsia="Arial"/>
          <w:sz w:val="20"/>
          <w:szCs w:val="20"/>
          <w:lang w:val="ru-RU" w:bidi="ru-RU"/>
        </w:rPr>
        <w:t xml:space="preserve">ствие локальных брендов, известных за пределами региона, за исключением брендов сектора АПК, - все это не дает пространства для существенного роста, а потому нуждается в особых механизмах "выращивания" и поддержки, выгодной и благоприятной среде для роста.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целях реализации основных направлений государственной политики по развитию конкурентной среды на территории Томской области утвержден перечень товарных рынков для содействия развитию конкуренции в рамках внедрения </w:t>
      </w:r>
      <w:hyperlink r:id="rId51" w:tooltip="consultantplus://offline/ref=9ACAA89C6FF58C33776267CAD813686974889BF623EDB854C524F083A7349DB9E6BF8B5B80C72114E4BA0D6973903742AEDF25DA257EB02352s0I" w:history="1">
        <w:r>
          <w:rPr>
            <w:rFonts w:ascii="Arial" w:hAnsi="Arial" w:cs="Arial" w:eastAsia="Arial"/>
            <w:color w:val="0000FF"/>
            <w:sz w:val="20"/>
            <w:szCs w:val="20"/>
            <w:lang w:val="ru-RU" w:bidi="ru-RU"/>
          </w:rPr>
          <w:t xml:space="preserve">Стандарта</w:t>
        </w:r>
      </w:hyperlink>
      <w:r>
        <w:rPr>
          <w:rFonts w:ascii="Arial" w:hAnsi="Arial" w:cs="Arial" w:eastAsia="Arial"/>
          <w:sz w:val="20"/>
          <w:szCs w:val="20"/>
          <w:lang w:val="ru-RU" w:bidi="ru-RU"/>
        </w:rPr>
        <w:t xml:space="preserve"> развития конкуренции в субъек</w:t>
      </w:r>
      <w:r>
        <w:rPr>
          <w:rFonts w:ascii="Arial" w:hAnsi="Arial" w:cs="Arial" w:eastAsia="Arial"/>
          <w:sz w:val="20"/>
          <w:szCs w:val="20"/>
          <w:lang w:val="ru-RU" w:bidi="ru-RU"/>
        </w:rPr>
        <w:t xml:space="preserve">тах Российской Федерации. С 2016 года реализуется План мероприятий ("дорожной карты") по содействию развитию конкуренции на территории Томской области, ежегодно проводится мониторинг состояния и развития конкурентной среды на рынках товаров, работ и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Пандемия 2020 г. оказала существенное негативное влияние на состояние сектора городских услуг (и состояние МСП в целом), однако значения индексов деловой активности, рассчитываемые банками (в частности), свидетельству</w:t>
      </w:r>
      <w:r>
        <w:rPr>
          <w:rFonts w:ascii="Arial" w:hAnsi="Arial" w:cs="Arial" w:eastAsia="Arial"/>
          <w:sz w:val="20"/>
          <w:szCs w:val="20"/>
          <w:lang w:val="ru-RU" w:bidi="ru-RU"/>
        </w:rPr>
        <w:t xml:space="preserve">ют о том, что в Томской области ситуация более благоприятна, чем в России в целом. В период пандемии томский малый бизнес выдержал не такое существенное, как в городах-миллионниках и крупных центрах, падение спроса, главным образом по причине малого рынка.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связи с текущими кризисными явлениями в экономике малый бизнес нуждается в дополнительной защите по причине отсутствия у него резервов, свободных и</w:t>
      </w:r>
      <w:r>
        <w:rPr>
          <w:rFonts w:ascii="Arial" w:hAnsi="Arial" w:cs="Arial" w:eastAsia="Arial"/>
          <w:sz w:val="20"/>
          <w:szCs w:val="20"/>
          <w:lang w:val="ru-RU" w:bidi="ru-RU"/>
        </w:rPr>
        <w:t xml:space="preserve">нвестиционных ресурсов, компетенций деятельности в ситуации неопределенности и кардинальных изменений. Малым и средним предприятиям нужны как дополнительные меры поддержки по стабилизации оборотов, спроса, так и мероприятия по расширению каналов сбыта с уч</w:t>
      </w:r>
      <w:r>
        <w:rPr>
          <w:rFonts w:ascii="Arial" w:hAnsi="Arial" w:cs="Arial" w:eastAsia="Arial"/>
          <w:sz w:val="20"/>
          <w:szCs w:val="20"/>
          <w:lang w:val="ru-RU" w:bidi="ru-RU"/>
        </w:rPr>
        <w:t xml:space="preserve">етом ограничений внутреннего рынка. Таким образом, для существенного роста малого и среднего бизнеса, в том числе высокотехнологического, текущие меры региональной политики необходимо дополнить с учетом кризисных явлений в экономике. Кроме того, рост предп</w:t>
      </w:r>
      <w:r>
        <w:rPr>
          <w:rFonts w:ascii="Arial" w:hAnsi="Arial" w:cs="Arial" w:eastAsia="Arial"/>
          <w:sz w:val="20"/>
          <w:szCs w:val="20"/>
          <w:lang w:val="ru-RU" w:bidi="ru-RU"/>
        </w:rPr>
        <w:t xml:space="preserve">ринимательства, увеличение численности занятых в сфере малого и среднего предпринимательства могут быть достигнуты за счет формирования инновационных, цифровых кластеров, развития современного сектора городских услуг (гостиничный комплекс, туроператорские </w:t>
      </w:r>
      <w:r>
        <w:rPr>
          <w:rFonts w:ascii="Arial" w:hAnsi="Arial" w:cs="Arial" w:eastAsia="Arial"/>
          <w:sz w:val="20"/>
          <w:szCs w:val="20"/>
          <w:lang w:val="ru-RU" w:bidi="ru-RU"/>
        </w:rPr>
        <w:t xml:space="preserve">и турагентские компании, организации общепита и торговли) и креативных индустрий. В силу слабого внутреннего рынка городские и креативные услуги оправдано развивать совместно с индустрией гостеприимства и туризма - как ключевым драйвером роста потребления.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Таким образом, в число дополнительных мероприятий Стратегии до 2030 года планируется включить: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Мероприятия по исполнению </w:t>
      </w:r>
      <w:hyperlink r:id="rId52" w:tooltip="consultantplus://offline/ref=9ACAA89C6FF58C33776267CAD813686974889BF623EDB854C524F083A7349DB9E6BF8B5B80C72114E4BA0D6973903742AEDF25DA257EB02352s0I" w:history="1">
        <w:r>
          <w:rPr>
            <w:rFonts w:ascii="Arial" w:hAnsi="Arial" w:cs="Arial" w:eastAsia="Arial"/>
            <w:color w:val="0000FF"/>
            <w:sz w:val="20"/>
            <w:szCs w:val="20"/>
            <w:lang w:val="ru-RU" w:bidi="ru-RU"/>
          </w:rPr>
          <w:t xml:space="preserve">Стандарта</w:t>
        </w:r>
      </w:hyperlink>
      <w:r>
        <w:rPr>
          <w:rFonts w:ascii="Arial" w:hAnsi="Arial" w:cs="Arial" w:eastAsia="Arial"/>
          <w:sz w:val="20"/>
          <w:szCs w:val="20"/>
          <w:lang w:val="ru-RU" w:bidi="ru-RU"/>
        </w:rPr>
        <w:t xml:space="preserve"> развития конкуренции в субъекта</w:t>
      </w:r>
      <w:r>
        <w:rPr>
          <w:rFonts w:ascii="Arial" w:hAnsi="Arial" w:cs="Arial" w:eastAsia="Arial"/>
          <w:sz w:val="20"/>
          <w:szCs w:val="20"/>
          <w:lang w:val="ru-RU" w:bidi="ru-RU"/>
        </w:rPr>
        <w:t xml:space="preserve">х Российской Федерации, в том числе развитие конкуренции на рынках товаров, работ и услуг Томской области; достижение целевых показателей, установленных Планом мероприятий ("дорожной карты") по содействию развитию конкуренции на территории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Создание благоприятных условий для предпринимателей, в том числе в высокотехнологических и венчурных (рисковых) и социально значимых областях: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Мероприятия по стабилизации последствий сжатия рынков, улучшению деловой среды (упрощение сроков получения кредитов, сокращение времени регистрации предприятий, недвижимости, получения разрешений и т.д.).</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Перевод услуг для малого бизнеса в полностью цифровой формат на базе платформ, и</w:t>
      </w:r>
      <w:r>
        <w:rPr>
          <w:rFonts w:ascii="Arial" w:hAnsi="Arial" w:cs="Arial" w:eastAsia="Arial"/>
          <w:sz w:val="20"/>
          <w:szCs w:val="20"/>
          <w:lang w:val="ru-RU" w:bidi="ru-RU"/>
        </w:rPr>
        <w:t xml:space="preserve">нтегрирующих как государственные, так и частные услуги бизнеса. Расширение списка сервисов предпринимателям по оказанию консалтинговых услуг и переподготовке (налоговый учет, бухгалтерия, онлайн-форматы деятельности, цифровая трансформация бизнеса и т.д.).</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Дополнительное финансирование для начинающих технологических предпринимателей (финансирование на начало бизнеса / доступ к сервисам типа "фаблаб" и "техношоп", обеспечивающие тестирование продукции).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Мероприятия по созданию и продвижению локальных брендов, успешных предпринимателей, программы по развитию горизонтальных и кластерных связей в секторах потребительских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Расширение программ по опережающей профессиональной подготовке предпринимателей по направлениям навыков и профессий будущего на базе инфраструктуры ЦОПП.</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Выявлени</w:t>
      </w:r>
      <w:r>
        <w:rPr>
          <w:rFonts w:ascii="Arial" w:hAnsi="Arial" w:cs="Arial" w:eastAsia="Arial"/>
          <w:sz w:val="20"/>
          <w:szCs w:val="20"/>
          <w:lang w:val="ru-RU" w:bidi="ru-RU"/>
        </w:rPr>
        <w:t xml:space="preserve">е, тестирование и внедрение инициатив предпринимательских сообществ по развитию делового климата и созданию современной инфраструктуры для развития бизнеса, совершенствование нормативно-правовой базы в части отмены неэффективных и устаревших норм и правил.</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Защита предпринимателей, в том числе попавших в сложную финансовую ситуацию, обеспечение санации и стабилизации бизнеса в сложных ситуациях, защита технологических предпринимателей, несущих высокие риски.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социального предпринимательства.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Развитие предпринимательских сообществ, прежде всего инновационных и технологических. Ежегодное проведение национально значи</w:t>
      </w:r>
      <w:r>
        <w:rPr>
          <w:rFonts w:ascii="Arial" w:hAnsi="Arial" w:cs="Arial" w:eastAsia="Arial"/>
          <w:sz w:val="20"/>
          <w:szCs w:val="20"/>
          <w:lang w:val="ru-RU" w:bidi="ru-RU"/>
        </w:rPr>
        <w:t xml:space="preserve">мых событий в сфере деловой технологической коммуникации, международно значимых форумов и конференций в сфере высоких технологий, ИТ, социальных и инновационных проектов в передовых и современных медиаформатах, глобальных бизнес-миссий и венчурных ярмарок.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4) Создание единой системы инновационных сервисов для предпринимателей, в т.ч. за счет системной кооперации с фе</w:t>
      </w:r>
      <w:r>
        <w:rPr>
          <w:rFonts w:ascii="Arial" w:hAnsi="Arial" w:cs="Arial" w:eastAsia="Arial"/>
          <w:sz w:val="20"/>
          <w:szCs w:val="20"/>
          <w:lang w:val="ru-RU" w:bidi="ru-RU"/>
        </w:rPr>
        <w:t xml:space="preserve">деральными институтами инновационного развития: формирование дорожной карты совместных проектов и мероприятий совместно с Агентством стратегических инициатив, Национальной технологической инициативой, Российской венчурной компанией, Фондом "Сколково" и др.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Удержание и развитие инновационных команд. Формирование благоприятного предпринимательского климата, качественной и разнообразной городской среды и социальной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6) Модернизация контрольно-надзорной деятельности органов государственной власти Томской области, включая оптимизацию сектора государственного упр</w:t>
      </w:r>
      <w:r>
        <w:rPr>
          <w:rFonts w:ascii="Arial" w:hAnsi="Arial" w:cs="Arial" w:eastAsia="Arial"/>
          <w:sz w:val="20"/>
          <w:szCs w:val="20"/>
          <w:lang w:val="ru-RU" w:bidi="ru-RU"/>
        </w:rPr>
        <w:t xml:space="preserve">авления, повышение качества и результативности осуществления контрольно-надзорной деятельности, снижение нагрузки на бизнес и повышение уровня защиты охраняемых законом ценностей. Формирование программы профилактики нарушений обязательных требований, внедр</w:t>
      </w:r>
      <w:r>
        <w:rPr>
          <w:rFonts w:ascii="Arial" w:hAnsi="Arial" w:cs="Arial" w:eastAsia="Arial"/>
          <w:sz w:val="20"/>
          <w:szCs w:val="20"/>
          <w:lang w:val="ru-RU" w:bidi="ru-RU"/>
        </w:rPr>
        <w:t xml:space="preserve">ение принципов риск-ориентированного контроля (надзора), порядков (методики) оценки результативности и эффективности контрольно-надзорной деятельности, обеспечение информированности подконтрольных субъектов по каждому виду регионального контроля (надзора).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Необходима реализация следующих инициатив: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Стратегическая инициатива "Томская область - регион твоих возможностей";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индустрии гостеприимства и создание современного креативного кластера.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Стратегическая инициатива "Томская область - регион</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твоих возможностей"</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Один из главных приоритетов, обозначенных в Стратегии, - сохранение и наращивание интеллектуального капитала, привлечение, удержание и выращивание талантов, инновационных команд, быстро растущих компаний и стартапов.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Привлекая лучших абитуриентов страны, Томская область должна удержать этот ценный ресурс и сформировать на его основе новый предпринимательский капитал. Область создаст удобную и современну</w:t>
      </w:r>
      <w:r>
        <w:rPr>
          <w:rFonts w:ascii="Arial" w:hAnsi="Arial" w:cs="Arial" w:eastAsia="Arial"/>
          <w:sz w:val="20"/>
          <w:szCs w:val="20"/>
          <w:lang w:val="ru-RU" w:bidi="ru-RU"/>
        </w:rPr>
        <w:t xml:space="preserve">ю среду для комфортной и интересной жизни, самореализации и развития личности на протяжении всей жизни. Целевой группой является молодежь в возрасте от 20 до 30 лет, с высшим образованием, в том числе с квалификацией по востребованным в регионе профессиям.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w:t>
      </w:r>
      <w:r>
        <w:rPr>
          <w:rFonts w:ascii="Arial" w:hAnsi="Arial" w:cs="Arial" w:eastAsia="Arial"/>
          <w:sz w:val="20"/>
          <w:szCs w:val="20"/>
          <w:lang w:val="ru-RU" w:bidi="ru-RU"/>
        </w:rPr>
        <w:t xml:space="preserve">еализация инициативы направлена на создание имиджа Томской области как региона, привлекательного для молодежи, который обеспечивает открытую среду для жизни, коммуникации, обеспечивает профессиональный рост и возможности по созданию и развитию своего дела.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инициативы предполагается в формате комплексной сервисной цифровой платформы. В число пилотных сервисов будут входить: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субсидии на получение дополнительных практико-ориентированных навы</w:t>
      </w:r>
      <w:r>
        <w:rPr>
          <w:rFonts w:ascii="Arial" w:hAnsi="Arial" w:cs="Arial" w:eastAsia="Arial"/>
          <w:sz w:val="20"/>
          <w:szCs w:val="20"/>
          <w:lang w:val="ru-RU" w:bidi="ru-RU"/>
        </w:rPr>
        <w:t xml:space="preserve">ков на основе гибкой системы сертификатов по профессиям, востребованным на рынке труда. Базой для внедрения станет система скилл-паспортов, которая предложена на уровне Правительства Российской Федерации и поддерживается Агентством "Молодые профессионалы";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сертификаты на участие в регионально значимых проектах и инициативах, в том числе в форматах социального значимых проектов, создание молодежного центра регионального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сервисы по трудоустройству в гибких форматах "внештатной" занятости (предусматривающие оплату труда, в отличие от практ</w:t>
      </w:r>
      <w:r>
        <w:rPr>
          <w:rFonts w:ascii="Arial" w:hAnsi="Arial" w:cs="Arial" w:eastAsia="Arial"/>
          <w:sz w:val="20"/>
          <w:szCs w:val="20"/>
          <w:lang w:val="ru-RU" w:bidi="ru-RU"/>
        </w:rPr>
        <w:t xml:space="preserve">ик и стажировок) в ведущих технологических компаниях, в том числе за рубежом, и в дистанционных форматах. Формирование в рамках программы по поддержке экспорта системы международных обменов для начинающих технологических предпринимателей на целевых рынках;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сертификаты на участие в промышленных и отраслевых акселераторах в новых и передовых рынках и индустриях, в том числе зарубежных;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сертификаты на прохождение программ профессионального развития инженерных и исследовательских кадров, в том числе предоставление грантов на реализацию проектов в сфере трансфера технологий, создания продуктовых инноваций;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грантовая поддержка на создание своего дела, в том числе в период обучения в образовательной организации высшего образования или колледже, предоставление возможностей по использованию </w:t>
      </w:r>
      <w:r>
        <w:rPr>
          <w:rFonts w:ascii="Arial" w:hAnsi="Arial" w:cs="Arial" w:eastAsia="Arial"/>
          <w:sz w:val="20"/>
          <w:szCs w:val="20"/>
          <w:lang w:val="ru-RU" w:bidi="ru-RU"/>
        </w:rPr>
        <w:t xml:space="preserve">региональной инновационной инфраструктуры и центров коллективного пользования в образовательных организациях высшего образования, вне зависимости от места прохождения обучения (в том числе в рамках открытой инфраструктуры "Большого Томского университета");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помощь в привлечении инвестиций разного уровня в предпринимательские проекты, формирование системы страхования рисков и государственных гарантий по стартапам;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помощь в приобретении жилья (грант или выдача беспроцентного займа на первый взнос), помощь в переезде для членов семьи, обеспечение местами в дошкольных учреждениях;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сервисы бесплатной диагностики здоровья, а также услуги по посещению спортивных комплексов.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реализации инициативы предполагается создание современной креативной инфраструктуры, обеспечивающей рост молодежного предпринимательства, создание модельного креативного квартала с комфортной, городской средой, творческими пространств</w:t>
      </w:r>
      <w:r>
        <w:rPr>
          <w:rFonts w:ascii="Arial" w:hAnsi="Arial" w:cs="Arial" w:eastAsia="Arial"/>
          <w:sz w:val="20"/>
          <w:szCs w:val="20"/>
          <w:lang w:val="ru-RU" w:bidi="ru-RU"/>
        </w:rPr>
        <w:t xml:space="preserve">ами, форматами размещения проектных команд, студий, индивидуальных рабочих мест, а также с высоким качеством сервисов, ориентированных на развитие творческих способностей жителей всех возрастов. В качестве основных направлений его развития рассматривается: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Фешн-квартал. Для резидентов квартала будет реализован формат фешн-акселератора с участием в</w:t>
      </w:r>
      <w:r>
        <w:rPr>
          <w:rFonts w:ascii="Arial" w:hAnsi="Arial" w:cs="Arial" w:eastAsia="Arial"/>
          <w:sz w:val="20"/>
          <w:szCs w:val="20"/>
          <w:lang w:val="ru-RU" w:bidi="ru-RU"/>
        </w:rPr>
        <w:t xml:space="preserve">едущих дизайнерских компаний. Резидент квартала получает доступ к современной цифровой проектной среде и объектам технологической инфраструктуры. Кроме того, в рамках квартала предусматривается создание витрины и шоу-рума современных российских дизайнеров.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Гастрономический квартал. Для резидентов квартала будет реализован акселератор ресторанов с участием ведущих ресторанных компаний. Состоявшиеся проекты разместятся в ресторанном дворике.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ИТ-медиаквартал. Для резидентов квартала будет реализован акселератор в с</w:t>
      </w:r>
      <w:r>
        <w:rPr>
          <w:rFonts w:ascii="Arial" w:hAnsi="Arial" w:cs="Arial" w:eastAsia="Arial"/>
          <w:sz w:val="20"/>
          <w:szCs w:val="20"/>
          <w:lang w:val="ru-RU" w:bidi="ru-RU"/>
        </w:rPr>
        <w:t xml:space="preserve">фере информационных технологий, продуктового графического дизайна, гейминга, медиа, передовых образовательных технологий с участием ведущих ИТ- и медиакомпаний. В рамках квартала будут созданы "модельные" офисы, в том числе для удаленной и гостевой работы.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Особенность бизнес-модели креативной инфраструктуры определяется типами резидентов. Резидентами могут стать начинающие предп</w:t>
      </w:r>
      <w:r>
        <w:rPr>
          <w:rFonts w:ascii="Arial" w:hAnsi="Arial" w:cs="Arial" w:eastAsia="Arial"/>
          <w:sz w:val="20"/>
          <w:szCs w:val="20"/>
          <w:lang w:val="ru-RU" w:bidi="ru-RU"/>
        </w:rPr>
        <w:t xml:space="preserve">риниматели, которым будут оказаны субсидируемые услуги по размещению в профильном коворкинге и выращиванию новых компаний в формате акселераторов, с использованием инфраструктуры промышленных технопарков и центров коллективного доступа. Также резидентами м</w:t>
      </w:r>
      <w:r>
        <w:rPr>
          <w:rFonts w:ascii="Arial" w:hAnsi="Arial" w:cs="Arial" w:eastAsia="Arial"/>
          <w:sz w:val="20"/>
          <w:szCs w:val="20"/>
          <w:lang w:val="ru-RU" w:bidi="ru-RU"/>
        </w:rPr>
        <w:t xml:space="preserve">огут стать состоявшиеся компании, которые будут размещаться локально в городе, образуя современные концентрированные кластеры новых городских индустрий. Регистрация в творческих кварталах может быть реализована посредством цифровой (виртуальной) платформы.</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Развитие индустрии гостеприимства и создание современного</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креативного кластера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2020 году отрасль туризма и смежная с ней индустрия гостеприимства испытали </w:t>
      </w:r>
      <w:r>
        <w:rPr>
          <w:rFonts w:ascii="Arial" w:hAnsi="Arial" w:cs="Arial" w:eastAsia="Arial"/>
          <w:sz w:val="20"/>
          <w:szCs w:val="20"/>
          <w:lang w:val="ru-RU" w:bidi="ru-RU"/>
        </w:rPr>
        <w:t xml:space="preserve">одно из самых сильных падений в истории. Однако уже с лета 2020 года началось восстановление, поддержанное в том числе активными мерами государственной политики по оживлению сектора. В последующем периоде восстановительного роста будет наблюдаться как медл</w:t>
      </w:r>
      <w:r>
        <w:rPr>
          <w:rFonts w:ascii="Arial" w:hAnsi="Arial" w:cs="Arial" w:eastAsia="Arial"/>
          <w:sz w:val="20"/>
          <w:szCs w:val="20"/>
          <w:lang w:val="ru-RU" w:bidi="ru-RU"/>
        </w:rPr>
        <w:t xml:space="preserve">енный инвестиционный подъем, так и реструктуризация сектора с переходом его на новые стандарты качества и новые бизнес-модели. Будут меняться и предпочтения туристов: ожидается рост локальных/межрегиональных путешествий на небольшой срок &lt;21&gt;, будет востре</w:t>
      </w:r>
      <w:r>
        <w:rPr>
          <w:rFonts w:ascii="Arial" w:hAnsi="Arial" w:cs="Arial" w:eastAsia="Arial"/>
          <w:sz w:val="20"/>
          <w:szCs w:val="20"/>
          <w:lang w:val="ru-RU" w:bidi="ru-RU"/>
        </w:rPr>
        <w:t xml:space="preserve">бован экологический, "здоровый", рекреационный, познавательный и семейный туризм, продолжится тенденция совмещения разных видов путешествий (к примеру, совмещение бизнес-целей и туристских). Для развития этих сегментов в Томской области есть все основания.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&lt;21&gt; По данным онлайн-агрегаторов, длительность путешествий по России ежегодно сокращается: 2,1 дня в 2019 году. Каждый третий российский турист предпочитает путешествовать в одиночку (34%), каждый второй - в компании из 3 - 4 человек.</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 учетом актуальной</w:t>
      </w:r>
      <w:r>
        <w:rPr>
          <w:rFonts w:ascii="Arial" w:hAnsi="Arial" w:cs="Arial" w:eastAsia="Arial"/>
          <w:sz w:val="20"/>
          <w:szCs w:val="20"/>
          <w:lang w:val="ru-RU" w:bidi="ru-RU"/>
        </w:rPr>
        <w:t xml:space="preserve"> ситуации Томской области предлагается сфокусироваться на создании современного туристского кластера на базе рекреационных ресурсов, регионального культурного наследия, индустрии гостеприимства, а также креативных индустрий и передовых цифровых 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Новые мероприятия должны быть направлены на создание новых продуктов всесезонного туризма, формирование новых туристских объектов и локальных б</w:t>
      </w:r>
      <w:r>
        <w:rPr>
          <w:rFonts w:ascii="Arial" w:hAnsi="Arial" w:cs="Arial" w:eastAsia="Arial"/>
          <w:sz w:val="20"/>
          <w:szCs w:val="20"/>
          <w:lang w:val="ru-RU" w:bidi="ru-RU"/>
        </w:rPr>
        <w:t xml:space="preserve">рендов, рост значения сферы досуга и гостеприимства ("большой туристский кластер") в экономике и занятости Томской области. Отрасль может стать одним из драйверов роста других смежных рынков услуг, в числе которых объекты новой и современной культуры, тран</w:t>
      </w:r>
      <w:r>
        <w:rPr>
          <w:rFonts w:ascii="Arial" w:hAnsi="Arial" w:cs="Arial" w:eastAsia="Arial"/>
          <w:sz w:val="20"/>
          <w:szCs w:val="20"/>
          <w:lang w:val="ru-RU" w:bidi="ru-RU"/>
        </w:rPr>
        <w:t xml:space="preserve">спортные услуги, розничная торговля, сфера общественного питания и др. Ключевое значение развитие сектора будет иметь для муниципальных образований области. Основным направлением развития сектора может стать совмещение культурного и экологического туризма.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Планируется реализация следующих приоритетных направлений: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узнаваемости и востребованности туристских продуктов Томской области за счет их системного продвижения, а также развития цифровых сервисов в сфере туризма на основе единой цифровой платформы, в том числе: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мета-бренда Томской области в сфере туризма, ориентированного на целевые внешние рынки (потенциалом обладают рынки Китая, Казахстана, Узбекистана, другие страны СНГ).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виртуальной сети маршрутов для индивидуальных туристов.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системы продвижения томских туристских продуктов и средств размещения на глобальных платформах для путешественников.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в </w:t>
      </w:r>
      <w:r>
        <w:rPr>
          <w:rFonts w:ascii="Arial" w:hAnsi="Arial" w:cs="Arial" w:eastAsia="Arial"/>
          <w:sz w:val="20"/>
          <w:szCs w:val="20"/>
          <w:lang w:val="ru-RU" w:bidi="ru-RU"/>
        </w:rPr>
        <w:t xml:space="preserve">том числе грантовая, разработки цифровых программных продуктов для индивидуальных туристов и малых групп туристов, включая иностранных, разных целевых потребителей, в том числе в формате интерактивных карт, календаря событий, приложений по новым маршрутам;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внедрения новых бизнес-моделей на стыке рекреационной индустрии и цифровых сервисов.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качества сервиса и кадрового потенциала в сфере туризма и индустрии гостеприимства: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Разработка и внедрение новых практико-ориентированных образовательных программ в туризме.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престижа отраслевых профессий.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Организационное обучение предпри</w:t>
      </w:r>
      <w:r>
        <w:rPr>
          <w:rFonts w:ascii="Arial" w:hAnsi="Arial" w:cs="Arial" w:eastAsia="Arial"/>
          <w:sz w:val="20"/>
          <w:szCs w:val="20"/>
          <w:lang w:val="ru-RU" w:bidi="ru-RU"/>
        </w:rPr>
        <w:t xml:space="preserve">ятий отрасли по проектированию и пилотированию новых туристских продуктов и передовых бизнес-моделей, в том числе в формате акселерационных программ, направленных на выведение новых туристских продуктов на рынок, а также предоставление грантов на обучение.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Стимулирование предпринимательства в туристской сфере и в сфере креативных индустрий: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разработки "брендовых маршрутов" для встраивания в программы федеральных туристических операторов, их привлечения на территорию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кооперации участников в форматах кластеров, партнерств, сетей, в том числе на муниципальном уровне.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создания новых туристских предложений с участием образовательных организаций высшего образования, культурных институций, библиотек, театров, креати</w:t>
      </w:r>
      <w:r>
        <w:rPr>
          <w:rFonts w:ascii="Arial" w:hAnsi="Arial" w:cs="Arial" w:eastAsia="Arial"/>
          <w:sz w:val="20"/>
          <w:szCs w:val="20"/>
          <w:lang w:val="ru-RU" w:bidi="ru-RU"/>
        </w:rPr>
        <w:t xml:space="preserve">вных площадок, лофтов, ресторанов местной кухни, объектов спортивной инфраструктуры, местных фермерских хозяйств. Разработка за счет такой кооперации "пакетных" туров и комплексных маршрутов, дающих возможность посетить регион несколько раз в течение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создания локальных брендов, производства сувениров и продуктов дизайна.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экспорта (въездного международного туризма) посредством предоставления конкурент</w:t>
      </w:r>
      <w:r>
        <w:rPr>
          <w:rFonts w:ascii="Arial" w:hAnsi="Arial" w:cs="Arial" w:eastAsia="Arial"/>
          <w:sz w:val="20"/>
          <w:szCs w:val="20"/>
          <w:lang w:val="ru-RU" w:bidi="ru-RU"/>
        </w:rPr>
        <w:t xml:space="preserve">оспособных туристских услуг для иностранных туристов, в том числе путем привлечения федеральных и международных туристических операторов к работе в регионе; использование для этих целей инструментов институтов развития, некоммерческих организаций и фондов.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условий для развития инфраструктуры креативного сектора и туризма, п</w:t>
      </w:r>
      <w:r>
        <w:rPr>
          <w:rFonts w:ascii="Arial" w:hAnsi="Arial" w:cs="Arial" w:eastAsia="Arial"/>
          <w:sz w:val="20"/>
          <w:szCs w:val="20"/>
          <w:lang w:val="ru-RU" w:bidi="ru-RU"/>
        </w:rPr>
        <w:t xml:space="preserve">овышения туристской привлекательности региона, в том числе развитие экотуризма, поддержка создания новых туристских маршрутов и новых туристских объектов, обеспеченных сервисной инфраструктурой, в том числе в пределах особо охраняемых природных территорий.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Развитие креативных индустрий за счет создания в регионе креативного кластера в формате гибридного пространства (онлайн, офлайн), объединяю</w:t>
      </w:r>
      <w:r>
        <w:rPr>
          <w:rFonts w:ascii="Arial" w:hAnsi="Arial" w:cs="Arial" w:eastAsia="Arial"/>
          <w:sz w:val="20"/>
          <w:szCs w:val="20"/>
          <w:lang w:val="ru-RU" w:bidi="ru-RU"/>
        </w:rPr>
        <w:t xml:space="preserve">щего представителей творческих профессий (дизайнеров, архитекторов, художников, музыкантов, режиссеров, микро-СМИ) и предпринимателей из сферы искусства для создания и продвижения локальных брендов через результаты совместной творческой деятельности. Элеме</w:t>
      </w:r>
      <w:r>
        <w:rPr>
          <w:rFonts w:ascii="Arial" w:hAnsi="Arial" w:cs="Arial" w:eastAsia="Arial"/>
          <w:sz w:val="20"/>
          <w:szCs w:val="20"/>
          <w:lang w:val="ru-RU" w:bidi="ru-RU"/>
        </w:rPr>
        <w:t xml:space="preserve">нтами креативного кластера могут стать перечисленные выше фешн-, гастрономический, ИТ-медиакварталы. Кроме того, якорными объектами креативного кластера могут стать размещаемые в городе филиалы музейных организаций с мировым именем или иные значимые креати</w:t>
      </w:r>
      <w:r>
        <w:rPr>
          <w:rFonts w:ascii="Arial" w:hAnsi="Arial" w:cs="Arial" w:eastAsia="Arial"/>
          <w:sz w:val="20"/>
          <w:szCs w:val="20"/>
          <w:lang w:val="ru-RU" w:bidi="ru-RU"/>
        </w:rPr>
        <w:t xml:space="preserve">вные объекты. В результате решения данной задачи к 2030 году в Томской области будут обеспечены условия для создания и развития малого и среднего бизнеса, в первую очередь - в сфере услуг и высоких технологий (включая информационные технологии). В целом эт</w:t>
      </w:r>
      <w:r>
        <w:rPr>
          <w:rFonts w:ascii="Arial" w:hAnsi="Arial" w:cs="Arial" w:eastAsia="Arial"/>
          <w:sz w:val="20"/>
          <w:szCs w:val="20"/>
          <w:lang w:val="ru-RU" w:bidi="ru-RU"/>
        </w:rPr>
        <w:t xml:space="preserve">о позволит увеличить численность занятых в сфере МСП, включая индивидуальных предпринимателей, с 145,60 тыс. чел. в 2020 г. до 173,10 тыс. чел. в 2030 г., а также будет способствовать решению ряда социальных задач (в т.ч. на уровне муниципальных образовани</w:t>
      </w:r>
      <w:r>
        <w:rPr>
          <w:rFonts w:ascii="Arial" w:hAnsi="Arial" w:cs="Arial" w:eastAsia="Arial"/>
          <w:sz w:val="20"/>
          <w:szCs w:val="20"/>
          <w:lang w:val="ru-RU" w:bidi="ru-RU"/>
        </w:rPr>
        <w:t xml:space="preserve">й), в частности, снижению уровня бедности и повышению привлекательности территории для квалифицированной молодежи. Будет модернизирована индустрия гостеприимства за счет увеличения спроса и приведения в соответствие с современными стандартами ведения бизне</w:t>
      </w:r>
      <w:r>
        <w:rPr>
          <w:rFonts w:ascii="Arial" w:hAnsi="Arial" w:cs="Arial" w:eastAsia="Arial"/>
          <w:sz w:val="20"/>
          <w:szCs w:val="20"/>
          <w:lang w:val="ru-RU" w:bidi="ru-RU"/>
        </w:rPr>
        <w:t xml:space="preserve">са в образующих ее секторах, а также сформирован современный динамично развивающийся креативный кластер. Это приведет к тому, что темп роста объема оказанных услуг в сфере туризма в действующих ценах к 2030 г. составит 232,78% по отношению к уровню 2020 г.</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1.3. Сформировать технологическое ядро новой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отраслевой специализации Томской области, обеспечить</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развитие высокотехнологических кластеров и инновационной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инфраструктуры посредством создания механизмов эффективной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кооперации технологического и производственного бизнеса,</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науки и образования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политики Томской области - создание исследовательских и технологических заделов для развития новых специализаций экономики региона на основе масштабирования технологической повестки действующих кластеров,</w:t>
      </w:r>
      <w:r>
        <w:rPr>
          <w:rFonts w:ascii="Arial" w:hAnsi="Arial" w:cs="Arial" w:eastAsia="Arial"/>
          <w:sz w:val="20"/>
          <w:szCs w:val="20"/>
          <w:lang w:val="ru-RU" w:bidi="ru-RU"/>
        </w:rPr>
        <w:t xml:space="preserve"> применения механизмов федеральной научной, технологической и промышленной политики, создания технологической инфраструктуры для развития "глубоких технологий" и цифровых решений, а также переход на гибкие форматы кадрового обеспечения новых специализаций.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развивается как технологический центр, в котором исследовательские программы и система подготовки специалистов (включая инженеров и исследователей) ориентированы н</w:t>
      </w:r>
      <w:r>
        <w:rPr>
          <w:rFonts w:ascii="Arial" w:hAnsi="Arial" w:cs="Arial" w:eastAsia="Arial"/>
          <w:sz w:val="20"/>
          <w:szCs w:val="20"/>
          <w:lang w:val="ru-RU" w:bidi="ru-RU"/>
        </w:rPr>
        <w:t xml:space="preserve">а задачи предпринимательского сектора, связанные с созданием новой платформы технологий под формирующиеся рынки. Фундаментальными и прикладными научными исследованиями и разработками занимаются 63 организации, среди них 7 лидирующих научных институтов, нау</w:t>
      </w:r>
      <w:r>
        <w:rPr>
          <w:rFonts w:ascii="Arial" w:hAnsi="Arial" w:cs="Arial" w:eastAsia="Arial"/>
          <w:sz w:val="20"/>
          <w:szCs w:val="20"/>
          <w:lang w:val="ru-RU" w:bidi="ru-RU"/>
        </w:rPr>
        <w:t xml:space="preserve">чно-разработческая деятельность которых имеет мировую значимость, что подтверждается объемами НИОКР в рамках зарубежных контрактов (объем финансирования НОК составляет 28,8 млрд рублей, в том числе НИОКР - 8,2 млрд). Регион является территорией с высокой к</w:t>
      </w:r>
      <w:r>
        <w:rPr>
          <w:rFonts w:ascii="Arial" w:hAnsi="Arial" w:cs="Arial" w:eastAsia="Arial"/>
          <w:sz w:val="20"/>
          <w:szCs w:val="20"/>
          <w:lang w:val="ru-RU" w:bidi="ru-RU"/>
        </w:rPr>
        <w:t xml:space="preserve">онцентрацией исследований и разработок (2,7% ВРП региона составляют затраты на исследования и разработки, что вдвое выше среднего по России). Томская область на протяжении трех лет занимает четвертое место в России в рейтинге инновационной активности регио</w:t>
      </w:r>
      <w:r>
        <w:rPr>
          <w:rFonts w:ascii="Arial" w:hAnsi="Arial" w:cs="Arial" w:eastAsia="Arial"/>
          <w:sz w:val="20"/>
          <w:szCs w:val="20"/>
          <w:lang w:val="ru-RU" w:bidi="ru-RU"/>
        </w:rPr>
        <w:t xml:space="preserve">нов и является одним из лидеров по уровню обеспеченности высокотехнологичного бизнеса инновационной инфраструктурой согласно интегральной оценке. Область входит в тройку лидеров страны по обеспеченности научными кадрами, почти 60% из которых младше 39 лет.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Значимым фактором для развития таких технологических центров является стабильный миграционный поток молодых людей, ориентированных на освоение компетенций и квалификаций, обеспечивающих участие в создании прод</w:t>
      </w:r>
      <w:r>
        <w:rPr>
          <w:rFonts w:ascii="Arial" w:hAnsi="Arial" w:cs="Arial" w:eastAsia="Arial"/>
          <w:sz w:val="20"/>
          <w:szCs w:val="20"/>
          <w:lang w:val="ru-RU" w:bidi="ru-RU"/>
        </w:rPr>
        <w:t xml:space="preserve">уктов с высокой добавленной стоимостью. Город Томск является международно признанным городом, благоприятным и безопасным для получения высшего образования (топ-100 студенческих городов мира в рейтинге QS) (42% населения Томска составляет молодежь, а каждый</w:t>
      </w:r>
      <w:r>
        <w:rPr>
          <w:rFonts w:ascii="Arial" w:hAnsi="Arial" w:cs="Arial" w:eastAsia="Arial"/>
          <w:sz w:val="20"/>
          <w:szCs w:val="20"/>
          <w:lang w:val="ru-RU" w:bidi="ru-RU"/>
        </w:rPr>
        <w:t xml:space="preserve"> восьмой житель города - студент; образовательные организации высшего образования Томской области занимают ведущие позиции в национальных рейтингах, а Томский государственный и Томский политехнический университеты ежегодно укрепляются в мировых рейтингах).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технологического бизнеса развернута </w:t>
      </w:r>
      <w:r>
        <w:rPr>
          <w:rFonts w:ascii="Arial" w:hAnsi="Arial" w:cs="Arial" w:eastAsia="Arial"/>
          <w:sz w:val="20"/>
          <w:szCs w:val="20"/>
          <w:lang w:val="ru-RU" w:bidi="ru-RU"/>
        </w:rPr>
        <w:t xml:space="preserve">сервисная поддержка на базе Центра инновационного развития - регионального оператора Фонда "Сколково", Томского регионального инжинирингового центра, инновационной экосистемы образовательных организаций высшего образования, сервисов Томской торгово-промышл</w:t>
      </w:r>
      <w:r>
        <w:rPr>
          <w:rFonts w:ascii="Arial" w:hAnsi="Arial" w:cs="Arial" w:eastAsia="Arial"/>
          <w:sz w:val="20"/>
          <w:szCs w:val="20"/>
          <w:lang w:val="ru-RU" w:bidi="ru-RU"/>
        </w:rPr>
        <w:t xml:space="preserve">енной палаты и Центра "Мой бизнес". На базе Томской торгово-промышленной палаты продолжает свое развитие первый в России филиал Национальной ассоциации трансфера технологий (НАТТ), являющийся одним из важных звеньев экосистемы трансфера технологий и регион</w:t>
      </w:r>
      <w:r>
        <w:rPr>
          <w:rFonts w:ascii="Arial" w:hAnsi="Arial" w:cs="Arial" w:eastAsia="Arial"/>
          <w:sz w:val="20"/>
          <w:szCs w:val="20"/>
          <w:lang w:val="ru-RU" w:bidi="ru-RU"/>
        </w:rPr>
        <w:t xml:space="preserve">альной инновационной политики. Целью данного подразделения является содействие реализации стратегии научно-технологического развития Российской Федерации на территории Томской области путем повышения результативности инвестиций в исследования и разработки.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Томской области формируются новые пространства для инкубирования и акселерации команд в новых технологических областях, на территории ОЭЗ, а также в технопарке и инжиниринговом центре в сфере информационных технологий и связи "IT-парке "Герцен", которые</w:t>
      </w:r>
      <w:r>
        <w:rPr>
          <w:rFonts w:ascii="Arial" w:hAnsi="Arial" w:cs="Arial" w:eastAsia="Arial"/>
          <w:sz w:val="20"/>
          <w:szCs w:val="20"/>
          <w:lang w:val="ru-RU" w:bidi="ru-RU"/>
        </w:rPr>
        <w:t xml:space="preserve"> объединят пространства для демонстрации и тестирования разработок, офисы для компаний, работающих в сфере ИТ, технологий 5G и связи, пространства коллективной работы, коворкинг, а также студии медиа- и звукозаписи, AR-видео и фотографии, 3D-моделирования.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2021 году стартует прое</w:t>
      </w:r>
      <w:r>
        <w:rPr>
          <w:rFonts w:ascii="Arial" w:hAnsi="Arial" w:cs="Arial" w:eastAsia="Arial"/>
          <w:sz w:val="20"/>
          <w:szCs w:val="20"/>
          <w:lang w:val="ru-RU" w:bidi="ru-RU"/>
        </w:rPr>
        <w:t xml:space="preserve">кт "Томский акселератор", целью которого является вовлечение молодежи в региональную инновационную деятельность, подготовка технологическими командами прототипов продуктов, выращивание технологических стартапов, поддержка и развитие инновационных компаний.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акселератора будут проводиться мероприятия различных форматов, направленные на генерацию идей, командообразование, получение основ бизнес</w:t>
      </w:r>
      <w:r>
        <w:rPr>
          <w:rFonts w:ascii="Arial" w:hAnsi="Arial" w:cs="Arial" w:eastAsia="Arial"/>
          <w:sz w:val="20"/>
          <w:szCs w:val="20"/>
          <w:lang w:val="ru-RU" w:bidi="ru-RU"/>
        </w:rPr>
        <w:t xml:space="preserve">-процессов (в том числе мероприятия под брендом TomskHUB), трекинг-проекта с привлечением наставников, имеющих опыт построения успешного бизнеса. По итогам технологического интенсива подготовленными командами будут создаваться прототипы в области сквозных </w:t>
      </w:r>
      <w:r>
        <w:rPr>
          <w:rFonts w:ascii="Arial" w:hAnsi="Arial" w:cs="Arial" w:eastAsia="Arial"/>
          <w:sz w:val="20"/>
          <w:szCs w:val="20"/>
          <w:lang w:val="ru-RU" w:bidi="ru-RU"/>
        </w:rPr>
        <w:t xml:space="preserve">цифровых технологий, а также с целью реализации стартапов от идеи до первых продаж, от первых продаж до оборота в 100 млн рублей в год. Стартапам, прошедшим бизнес-акселератор, будут предоставлены льготные условия по размещению на площадке ОЭЗ ТВТ "Томск".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с 2017 года выступает пилотной территорией реализации </w:t>
      </w:r>
      <w:hyperlink r:id="rId53" w:tooltip="consultantplus://offline/ref=9ACAA89C6FF58C33776267CAD8136869748D91F427EBB854C524F083A7349DB9E6BF8B5B80C72114E5BA0D6973903742AEDF25DA257EB02352s0I" w:history="1">
        <w:r>
          <w:rPr>
            <w:rFonts w:ascii="Arial" w:hAnsi="Arial" w:cs="Arial" w:eastAsia="Arial"/>
            <w:color w:val="0000FF"/>
            <w:sz w:val="20"/>
            <w:szCs w:val="20"/>
            <w:lang w:val="ru-RU" w:bidi="ru-RU"/>
          </w:rPr>
          <w:t xml:space="preserve">Стратегии</w:t>
        </w:r>
      </w:hyperlink>
      <w:r>
        <w:rPr>
          <w:rFonts w:ascii="Arial" w:hAnsi="Arial" w:cs="Arial" w:eastAsia="Arial"/>
          <w:sz w:val="20"/>
          <w:szCs w:val="20"/>
          <w:lang w:val="ru-RU" w:bidi="ru-RU"/>
        </w:rPr>
        <w:t xml:space="preserve"> научно-технологического развития Российской Федерации по отработке модели развития</w:t>
      </w:r>
      <w:r>
        <w:rPr>
          <w:rFonts w:ascii="Arial" w:hAnsi="Arial" w:cs="Arial" w:eastAsia="Arial"/>
          <w:sz w:val="20"/>
          <w:szCs w:val="20"/>
          <w:lang w:val="ru-RU" w:bidi="ru-RU"/>
        </w:rPr>
        <w:t xml:space="preserve"> региона как территории с высокой концентрацией исследований и разработок, инновационной инфраструктуры и передовых производств. Указанная модель ориентирована на пилотную реализацию новых форматов организации научной и научно-технологической деятельности.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поддержки институциональных изменений в предпринимательском секторе, создания условий для роста компаний, ориентированных на занятие значимых позиций в формирующихся рынках, в регионе реализуется системный проект "Томская</w:t>
      </w:r>
      <w:r>
        <w:rPr>
          <w:rFonts w:ascii="Arial" w:hAnsi="Arial" w:cs="Arial" w:eastAsia="Arial"/>
          <w:sz w:val="20"/>
          <w:szCs w:val="20"/>
          <w:lang w:val="ru-RU" w:bidi="ru-RU"/>
        </w:rPr>
        <w:t xml:space="preserve"> область - пилотный регион Национальной технологической инициативы" в формате "дорожной карты", объединяющей комплекс мер, поддерживающих реализацию новых бизнес-моделей, снижение издержек и развитие технологической кооперации для создания новых продуктов.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Кроме того, в регионе реализуются форум новых решений U-NOVUS как новый формат проектной работы; кадровый проект "Школа ключевых исследователей (PI)", работает лидирующее среди регионов России пространство коллективной работы "Точка кипения-Томск".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Несмотря на доступную инновационную инфраструктуру, высокое качество и продуктивность исследовательской деятельности научных организаций, уровень трансфера знаний в </w:t>
      </w:r>
      <w:r>
        <w:rPr>
          <w:rFonts w:ascii="Arial" w:hAnsi="Arial" w:cs="Arial" w:eastAsia="Arial"/>
          <w:sz w:val="20"/>
          <w:szCs w:val="20"/>
          <w:lang w:val="ru-RU" w:bidi="ru-RU"/>
        </w:rPr>
        <w:t xml:space="preserve">экономику в настоящий период не соответствует потенциалу региона. При наличии благоприятных институциональных условий для высокотехнологичного бизнеса доля предприятий, осуществляющих технологические инновации, остается недостаточно высокой (не более 13%).</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стратегической перспективе ключевые вызовы развития технологического сектора Томской области будут связаны с преодолением структурных противоречий: 1) между наличием компаний с технологическими заделами и способностью реализовывать новые бизнес-модел</w:t>
      </w:r>
      <w:r>
        <w:rPr>
          <w:rFonts w:ascii="Arial" w:hAnsi="Arial" w:cs="Arial" w:eastAsia="Arial"/>
          <w:sz w:val="20"/>
          <w:szCs w:val="20"/>
          <w:lang w:val="ru-RU" w:bidi="ru-RU"/>
        </w:rPr>
        <w:t xml:space="preserve">и; 2) ростом инвестиций в исследовательские стадии и недостаточным уровнем развития производственного цикла; 3) наличием команд в новых областях и ограничениях существующей технологической инфраструктуры, препятствующих созданию продуктов нового поколения.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Укрепление позиций Томской области как центра технологий и инжиниринга и "попадание" в зону перспективных приоритетов крупных промышленных компаний, реализующих промышленно значимые исследования и разработки (ПАО "Газпром", ПАО "Газпром нефть", госуд</w:t>
      </w:r>
      <w:r>
        <w:rPr>
          <w:rFonts w:ascii="Arial" w:hAnsi="Arial" w:cs="Arial" w:eastAsia="Arial"/>
          <w:sz w:val="20"/>
          <w:szCs w:val="20"/>
          <w:lang w:val="ru-RU" w:bidi="ru-RU"/>
        </w:rPr>
        <w:t xml:space="preserve">арственная корпорация по атомной энергии "Росатом", государственная корпорация по космической деятельности "Роскосмос", государственная корпорация "Ростехнологии", ПАО "Интер РАО", ПАО "СИБУР Холдинг" и др.), будет связано с преодолением указанных вызовов.</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Сектор образования, исследований и разработок</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Мероприятия по развитию сектора образования, исследований и разработок будут направлены на повышение эффективности научной, научно-технической и инновационной деятельности в регионе. В регионе реализуется проект по развитию научной </w:t>
      </w:r>
      <w:r>
        <w:rPr>
          <w:rFonts w:ascii="Arial" w:hAnsi="Arial" w:cs="Arial" w:eastAsia="Arial"/>
          <w:sz w:val="20"/>
          <w:szCs w:val="20"/>
          <w:lang w:val="ru-RU" w:bidi="ru-RU"/>
        </w:rPr>
        <w:t xml:space="preserve">и научно-производственной кооперации, направленный на использование актуальных федеральных механизмов научно-технологической политики (создание в Томской области не менее 1 научно-образовательного центра мирового уровня, 1 научного центра мирового уровня).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дополнение к реализуемым мероприятиям необходимо предусмотреть существенное усиление мер в рамках региональной технологической и инновационной политики. Необходима реализация следующих дополнительных направлений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Отработка форматов кооперации организаций реального сектора экономики, образовательных организаций высшего образования и научных организаций.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новых кластеров на стыке глубоких и цифровых технологий.</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Отработка форматов кооперации организаций реального сектора</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экономики, образовательных организаций высшего образования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научных организаций</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Стратегии пространственного развития Российской Феде</w:t>
      </w:r>
      <w:r>
        <w:rPr>
          <w:rFonts w:ascii="Arial" w:hAnsi="Arial" w:cs="Arial" w:eastAsia="Arial"/>
          <w:sz w:val="20"/>
          <w:szCs w:val="20"/>
          <w:lang w:val="ru-RU" w:bidi="ru-RU"/>
        </w:rPr>
        <w:t xml:space="preserve">рации Томская область выделена в числе регионов, в которых сложились условия для создания на основе научного потенциала региона нового технологического ядра отраслевой специализации, обеспечения кадрами и прикладными знаниями стратегически важных отраслей.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Инициатива по развитию научной и научно-производственной кооперации будет реализовываться с использованием компетенций и инфраструктуры ведущих образовательных ор</w:t>
      </w:r>
      <w:r>
        <w:rPr>
          <w:rFonts w:ascii="Arial" w:hAnsi="Arial" w:cs="Arial" w:eastAsia="Arial"/>
          <w:sz w:val="20"/>
          <w:szCs w:val="20"/>
          <w:lang w:val="ru-RU" w:bidi="ru-RU"/>
        </w:rPr>
        <w:t xml:space="preserve">ганизаций высшего образования Томска (ТГУ, ТПУ, ТУСУР, СибГМУ, ТГАСУ, ТГПУ, включая базовые кафедры индустриальных компаний, центры компетенций, инжиниринговые центры, центры коллективного пользования научным оборудованием) и академических научных организа</w:t>
      </w:r>
      <w:r>
        <w:rPr>
          <w:rFonts w:ascii="Arial" w:hAnsi="Arial" w:cs="Arial" w:eastAsia="Arial"/>
          <w:sz w:val="20"/>
          <w:szCs w:val="20"/>
          <w:lang w:val="ru-RU" w:bidi="ru-RU"/>
        </w:rPr>
        <w:t xml:space="preserve">ций (Томский национальный исследовательский медицинский центр РАН, Институт физики прочности и материаловедения, Институт химии нефти, Институт сильноточной электроники, Институт мониторинга климатических и экологических систем, Институт оптики атмосферы).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Технологические проекты Научно-образовательного центра Томской облас</w:t>
      </w:r>
      <w:r>
        <w:rPr>
          <w:rFonts w:ascii="Arial" w:hAnsi="Arial" w:cs="Arial" w:eastAsia="Arial"/>
          <w:sz w:val="20"/>
          <w:szCs w:val="20"/>
          <w:lang w:val="ru-RU" w:bidi="ru-RU"/>
        </w:rPr>
        <w:t xml:space="preserve">ти будут реализовываться с вовлечением и при ресурсной поддержке индустриальных и технологических партнеров - компаний-лидеров ведущих отраслей и технологических рынков, в числе которых ПАО "Газпром нефть", ПАО "СИБУР Холдинг", ООО "СТК", АО НПФ "Микран", </w:t>
      </w:r>
      <w:r>
        <w:rPr>
          <w:rFonts w:ascii="Arial" w:hAnsi="Arial" w:cs="Arial" w:eastAsia="Arial"/>
          <w:sz w:val="20"/>
          <w:szCs w:val="20"/>
          <w:lang w:val="ru-RU" w:bidi="ru-RU"/>
        </w:rPr>
        <w:t xml:space="preserve">ООО "ТПК "САВА", ООО "Артлайф" и др. Эти компании примут участие в обеспечении необходимой приборной и технологической базы, создании технологических полигонов, совместных специализированных лабораторий и центров практико-ориентированной подготовки кадров.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Инициатива по развитию научной и научно-производственной кооперации предусматривает: создание системы интеграции науки и бизнеса на основе совместного планирования и </w:t>
      </w:r>
      <w:r>
        <w:rPr>
          <w:rFonts w:ascii="Arial" w:hAnsi="Arial" w:cs="Arial" w:eastAsia="Arial"/>
          <w:sz w:val="20"/>
          <w:szCs w:val="20"/>
          <w:lang w:val="ru-RU" w:bidi="ru-RU"/>
        </w:rPr>
        <w:t xml:space="preserve">проектирования (в форматах КНТП/КПНИ); создание лидирующего в стране центра развития компетенций по подготовке и карьерному развитию индустриально ориентированных исследователей и разработчиков (на базе Школы ключевых исследователей); создание открытой инн</w:t>
      </w:r>
      <w:r>
        <w:rPr>
          <w:rFonts w:ascii="Arial" w:hAnsi="Arial" w:cs="Arial" w:eastAsia="Arial"/>
          <w:sz w:val="20"/>
          <w:szCs w:val="20"/>
          <w:lang w:val="ru-RU" w:bidi="ru-RU"/>
        </w:rPr>
        <w:t xml:space="preserve">овационно-технологической экосистемы, интегрирующей возможности и сервисы всех институтов развития; обеспечение доступности ресурсов и инфраструктуры для разработчиков (в том числе обновление приборной базы ведущих организаций Томской области, выполняющих </w:t>
      </w:r>
      <w:r>
        <w:rPr>
          <w:rFonts w:ascii="Arial" w:hAnsi="Arial" w:cs="Arial" w:eastAsia="Arial"/>
          <w:sz w:val="20"/>
          <w:szCs w:val="20"/>
          <w:lang w:val="ru-RU" w:bidi="ru-RU"/>
        </w:rPr>
        <w:t xml:space="preserve">научные исследования и разработки); мероприятия по формированию региональных рынков прорывных инноваций в связке с экспериментальными режимами внедрения (полигонов, центров технологического трансфера, опытных производств, переход на новые стандарты и пр.).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Приоритетными направлениями инициативы являются: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Системы связи и микроэлектроника.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Передовой нефтегазовый инжиниринг.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Персонализированная медицина и новые биотехнологии питания.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4. Новая химия и молекулярный дизайн.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Перспективные материалы и технологии обеспечения качества.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6. Цифровые решения, квантовые вычисления и искусственный интеллект.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Дополнительно к указанным мероприятиям планируется реализация мероприятий по созданию и развитию новых технологических кластеров в сфере глубоких и цифровых технологий.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Создание новых кластеров на стыке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глубоких и цифровых технологий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 2030 году Томская область должна стать лидером по созданию и внедрению передовых технологических реше</w:t>
      </w:r>
      <w:r>
        <w:rPr>
          <w:rFonts w:ascii="Arial" w:hAnsi="Arial" w:cs="Arial" w:eastAsia="Arial"/>
          <w:sz w:val="20"/>
          <w:szCs w:val="20"/>
          <w:lang w:val="ru-RU" w:bidi="ru-RU"/>
        </w:rPr>
        <w:t xml:space="preserve">ний. В то же время технологические компании, которые, как правило, имеют нишевое позиционирование, нуждаются в целевых механизмах поддержки, в особенности при существующих кризисных явлениях, меняющих институциональную среду экономики. Малые технологически</w:t>
      </w:r>
      <w:r>
        <w:rPr>
          <w:rFonts w:ascii="Arial" w:hAnsi="Arial" w:cs="Arial" w:eastAsia="Arial"/>
          <w:sz w:val="20"/>
          <w:szCs w:val="20"/>
          <w:lang w:val="ru-RU" w:bidi="ru-RU"/>
        </w:rPr>
        <w:t xml:space="preserve">е компании региона должны быть защищены льготными режимами, иметь доступ к качественной инфраструктуре, сервисам поиска российских и иностранных партнеров как стратегически важному ресурсу, обеспечивающему развитие человеческого капитала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действующих мер продолжится создание в Томской области опытного района по отработке услуг перевозки легких грузов на базе беспилотных летательных аппаратов (БПЛА) в рамках проекта "Тайга" - пилотного проекта национального ур</w:t>
      </w:r>
      <w:r>
        <w:rPr>
          <w:rFonts w:ascii="Arial" w:hAnsi="Arial" w:cs="Arial" w:eastAsia="Arial"/>
          <w:sz w:val="20"/>
          <w:szCs w:val="20"/>
          <w:lang w:val="ru-RU" w:bidi="ru-RU"/>
        </w:rPr>
        <w:t xml:space="preserve">овня с одновременной отработкой экспериментального правового режима и технологических комплексов создания нового рынка беспилотных аппаратов. С 2021 года запланирована реализация программы экспериментального правового режима в сфере беспилотных 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Имеющиеся в Томской области компетенции и инфраструктурные возможности позволят масштабировать опыт реализации проекта "Тайга" и создать до 2030 года нескол</w:t>
      </w:r>
      <w:r>
        <w:rPr>
          <w:rFonts w:ascii="Arial" w:hAnsi="Arial" w:cs="Arial" w:eastAsia="Arial"/>
          <w:sz w:val="20"/>
          <w:szCs w:val="20"/>
          <w:lang w:val="ru-RU" w:bidi="ru-RU"/>
        </w:rPr>
        <w:t xml:space="preserve">ько новых экспериментальных полигонов и режимов в сфере новых быстрорастущих рынков (со среднегодовыми темпами роста от 7 до 37%) в соответствии с возможностями федерального законодательства по экспериментальным правовым режимам в сфере цифровых инноваций.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Также на базе ТУСУР будет сформирован центр микроэлектроники, реализующий портфель проектов в области развития систем и сетей связи 5G (включая разработку отечественных модулей 5G средней и большой зоны обслуживания и програм</w:t>
      </w:r>
      <w:r>
        <w:rPr>
          <w:rFonts w:ascii="Arial" w:hAnsi="Arial" w:cs="Arial" w:eastAsia="Arial"/>
          <w:sz w:val="20"/>
          <w:szCs w:val="20"/>
          <w:lang w:val="ru-RU" w:bidi="ru-RU"/>
        </w:rPr>
        <w:t xml:space="preserve">мно-аппаратного комплекса для формирования тестовых сигналов стандарта 5G NR), технологий беспроводной связи и интернета вещей. Позиционирование Томской области в сегменте СВЧ-технологий будет базироваться на компетенциях, сформированных в рамках проектов </w:t>
      </w:r>
      <w:r>
        <w:rPr>
          <w:rFonts w:ascii="Arial" w:hAnsi="Arial" w:cs="Arial" w:eastAsia="Arial"/>
          <w:sz w:val="20"/>
          <w:szCs w:val="20"/>
          <w:lang w:val="ru-RU" w:bidi="ru-RU"/>
        </w:rPr>
        <w:t xml:space="preserve">АО "Научно-исследовательский институт полупроводниковых приборов" и АО "НПФ "Микран". В рамках гранта АО "Российская венчурная компания" на разработку и тестирование базовой станции для 5G-сетей "НПФ "Микран" создаст пилотную 5G-зону на южной площадке ОЭЗ.</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Новые технологические полигоны и целевые растущие мировые рынки для Томской области приведены в таблице 7.</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7 - Новые технологические полигоны,</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целевые продукты и рынки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jc w:val="center"/>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701"/>
        <w:gridCol w:w="3628"/>
        <w:gridCol w:w="1843"/>
        <w:gridCol w:w="1843"/>
      </w:tblGrid>
      <w:tr>
        <w:trPr>
          <w:jc w:val="center"/>
        </w:trPr>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Технологический полигон</w:t>
            </w:r>
            <w:r/>
          </w:p>
        </w:tc>
        <w:tc>
          <w:tcPr>
            <w:tcBorders>
              <w:left w:val="single" w:color="000000" w:sz="4" w:space="0"/>
              <w:top w:val="single" w:color="000000" w:sz="4" w:space="0"/>
              <w:right w:val="single" w:color="000000" w:sz="4" w:space="0"/>
              <w:bottom w:val="single" w:color="000000" w:sz="4" w:space="0"/>
            </w:tcBorders>
            <w:tcW w:w="362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Основные целевые продукты</w:t>
            </w:r>
            <w:r/>
          </w:p>
        </w:tc>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Мировой рынок</w:t>
            </w:r>
            <w:r/>
          </w:p>
        </w:tc>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Среднегодовые темпы роста рынка в мире до 2030 года, CAGR, %</w:t>
            </w:r>
            <w:r/>
          </w:p>
        </w:tc>
      </w:tr>
      <w:tr>
        <w:trPr>
          <w:jc w:val="center"/>
        </w:trPr>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Тайга</w:t>
            </w:r>
            <w:r/>
          </w:p>
        </w:tc>
        <w:tc>
          <w:tcPr>
            <w:tcBorders>
              <w:left w:val="single" w:color="000000" w:sz="4" w:space="0"/>
              <w:top w:val="single" w:color="000000" w:sz="4" w:space="0"/>
              <w:right w:val="single" w:color="000000" w:sz="4" w:space="0"/>
              <w:bottom w:val="single" w:color="000000" w:sz="4" w:space="0"/>
            </w:tcBorders>
            <w:tcW w:w="3628"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Воздушные беспилотные системы для доставки грузов</w:t>
            </w:r>
            <w:r/>
          </w:p>
        </w:tc>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Технологии автономного транспорта (БПЛА)</w:t>
            </w:r>
            <w:r/>
          </w:p>
        </w:tc>
        <w:tc>
          <w:tcPr>
            <w:tcBorders>
              <w:left w:val="single" w:color="000000" w:sz="4" w:space="0"/>
              <w:top w:val="single" w:color="000000" w:sz="4" w:space="0"/>
              <w:right w:val="single" w:color="000000" w:sz="4" w:space="0"/>
              <w:bottom w:val="single" w:color="000000" w:sz="4" w:space="0"/>
            </w:tcBorders>
            <w:tcW w:w="1843"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12,9</w:t>
            </w:r>
            <w:r/>
          </w:p>
        </w:tc>
      </w:tr>
      <w:tr>
        <w:trPr>
          <w:jc w:val="center"/>
        </w:trPr>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Палеозой</w:t>
            </w:r>
            <w:r/>
          </w:p>
        </w:tc>
        <w:tc>
          <w:tcPr>
            <w:tcBorders>
              <w:left w:val="single" w:color="000000" w:sz="4" w:space="0"/>
              <w:top w:val="single" w:color="000000" w:sz="4" w:space="0"/>
              <w:right w:val="single" w:color="000000" w:sz="4" w:space="0"/>
              <w:bottom w:val="single" w:color="000000" w:sz="4" w:space="0"/>
            </w:tcBorders>
            <w:tcW w:w="3628"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Платформа для комплексного геомеханического моделирования;</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Интеллектуальные технологии для оптимизации процессов планирования и управления разработкой</w:t>
            </w:r>
            <w:r/>
          </w:p>
        </w:tc>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Нефтегазодобыча на базе цифровых технологий</w:t>
            </w:r>
            <w:r/>
          </w:p>
        </w:tc>
        <w:tc>
          <w:tcPr>
            <w:tcBorders>
              <w:left w:val="single" w:color="000000" w:sz="4" w:space="0"/>
              <w:top w:val="single" w:color="000000" w:sz="4" w:space="0"/>
              <w:right w:val="single" w:color="000000" w:sz="4" w:space="0"/>
              <w:bottom w:val="single" w:color="000000" w:sz="4" w:space="0"/>
            </w:tcBorders>
            <w:tcW w:w="1843"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w:t>
            </w:r>
            <w:r/>
          </w:p>
        </w:tc>
      </w:tr>
      <w:tr>
        <w:trPr>
          <w:jc w:val="center"/>
        </w:trPr>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Беспроводные системы связи 5 поколения (5G)</w:t>
            </w:r>
            <w:r/>
          </w:p>
        </w:tc>
        <w:tc>
          <w:tcPr>
            <w:tcBorders>
              <w:left w:val="single" w:color="000000" w:sz="4" w:space="0"/>
              <w:top w:val="single" w:color="000000" w:sz="4" w:space="0"/>
              <w:right w:val="single" w:color="000000" w:sz="4" w:space="0"/>
              <w:bottom w:val="single" w:color="000000" w:sz="4" w:space="0"/>
            </w:tcBorders>
            <w:tcW w:w="3628"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Приемо-передающие модули для систем связи 5G/6G;</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Системы технологической связи и промышленного интернета вещей (IIoT);</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Средства и комплексы измерения и контроля перспективных систем связи и их компонентов</w:t>
            </w:r>
            <w:r/>
          </w:p>
        </w:tc>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Интернет вещей (IoT) в сельском хозяйстве</w:t>
            </w:r>
            <w:r/>
          </w:p>
        </w:tc>
        <w:tc>
          <w:tcPr>
            <w:tcBorders>
              <w:left w:val="single" w:color="000000" w:sz="4" w:space="0"/>
              <w:top w:val="single" w:color="000000" w:sz="4" w:space="0"/>
              <w:right w:val="single" w:color="000000" w:sz="4" w:space="0"/>
              <w:bottom w:val="single" w:color="000000" w:sz="4" w:space="0"/>
            </w:tcBorders>
            <w:tcW w:w="1843"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13,7</w:t>
            </w:r>
            <w:r/>
          </w:p>
        </w:tc>
      </w:tr>
      <w:tr>
        <w:trPr>
          <w:jc w:val="center"/>
        </w:trPr>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Цифровая клиника</w:t>
            </w:r>
            <w:r/>
          </w:p>
        </w:tc>
        <w:tc>
          <w:tcPr>
            <w:tcBorders>
              <w:left w:val="single" w:color="000000" w:sz="4" w:space="0"/>
              <w:top w:val="single" w:color="000000" w:sz="4" w:space="0"/>
              <w:right w:val="single" w:color="000000" w:sz="4" w:space="0"/>
              <w:bottom w:val="single" w:color="000000" w:sz="4" w:space="0"/>
            </w:tcBorders>
            <w:tcW w:w="3628"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Высокотехнологичные решения в сфере превентивной медицины;</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Технологии цифрового здравоохранения;</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Наукоемкие технологии медицинской помощи</w:t>
            </w:r>
            <w:r/>
          </w:p>
        </w:tc>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Цифровое здравоохранение</w:t>
            </w:r>
            <w:r/>
          </w:p>
        </w:tc>
        <w:tc>
          <w:tcPr>
            <w:tcBorders>
              <w:left w:val="single" w:color="000000" w:sz="4" w:space="0"/>
              <w:top w:val="single" w:color="000000" w:sz="4" w:space="0"/>
              <w:right w:val="single" w:color="000000" w:sz="4" w:space="0"/>
              <w:bottom w:val="single" w:color="000000" w:sz="4" w:space="0"/>
            </w:tcBorders>
            <w:tcW w:w="1843"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27,7</w:t>
            </w:r>
            <w:r/>
          </w:p>
        </w:tc>
      </w:tr>
      <w:tr>
        <w:trPr>
          <w:jc w:val="center"/>
        </w:trPr>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Умный город и городские технологии</w:t>
            </w:r>
            <w:r/>
          </w:p>
        </w:tc>
        <w:tc>
          <w:tcPr>
            <w:tcBorders>
              <w:left w:val="single" w:color="000000" w:sz="4" w:space="0"/>
              <w:top w:val="single" w:color="000000" w:sz="4" w:space="0"/>
              <w:right w:val="single" w:color="000000" w:sz="4" w:space="0"/>
              <w:bottom w:val="single" w:color="000000" w:sz="4" w:space="0"/>
            </w:tcBorders>
            <w:tcW w:w="3628"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Технологические решения и цифровые платформы для инфраструктуры умного города</w:t>
            </w:r>
            <w:r/>
          </w:p>
        </w:tc>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Городские технологии</w:t>
            </w:r>
            <w:r/>
          </w:p>
        </w:tc>
        <w:tc>
          <w:tcPr>
            <w:tcBorders>
              <w:left w:val="single" w:color="000000" w:sz="4" w:space="0"/>
              <w:top w:val="single" w:color="000000" w:sz="4" w:space="0"/>
              <w:right w:val="single" w:color="000000" w:sz="4" w:space="0"/>
              <w:bottom w:val="single" w:color="000000" w:sz="4" w:space="0"/>
            </w:tcBorders>
            <w:tcW w:w="1843"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w:t>
            </w:r>
            <w:r/>
          </w:p>
        </w:tc>
      </w:tr>
      <w:tr>
        <w:trPr>
          <w:jc w:val="center"/>
        </w:trPr>
        <w:tc>
          <w:tcPr>
            <w:tcBorders>
              <w:left w:val="single" w:color="000000" w:sz="4" w:space="0"/>
              <w:top w:val="single" w:color="000000" w:sz="4" w:space="0"/>
              <w:right w:val="single" w:color="000000" w:sz="4" w:space="0"/>
              <w:bottom w:val="single" w:color="000000" w:sz="4" w:space="0"/>
            </w:tcBorders>
            <w:tcW w:w="170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Цифровой университет (интеллектуальные решения)</w:t>
            </w:r>
            <w:r/>
          </w:p>
        </w:tc>
        <w:tc>
          <w:tcPr>
            <w:tcBorders>
              <w:left w:val="single" w:color="000000" w:sz="4" w:space="0"/>
              <w:top w:val="single" w:color="000000" w:sz="4" w:space="0"/>
              <w:right w:val="single" w:color="000000" w:sz="4" w:space="0"/>
              <w:bottom w:val="single" w:color="000000" w:sz="4" w:space="0"/>
            </w:tcBorders>
            <w:tcW w:w="3628"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Интеллектуальные технологии управления образовательной организацией высшего образования;</w:t>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Технологии индивидуального и адаптивного образования</w:t>
            </w:r>
            <w:r/>
          </w:p>
        </w:tc>
        <w:tc>
          <w:tcPr>
            <w:tcBorders>
              <w:left w:val="single" w:color="000000" w:sz="4" w:space="0"/>
              <w:top w:val="single" w:color="000000" w:sz="4" w:space="0"/>
              <w:right w:val="single" w:color="000000" w:sz="4" w:space="0"/>
              <w:bottom w:val="single" w:color="000000" w:sz="4" w:space="0"/>
            </w:tcBorders>
            <w:tcW w:w="1843"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Искусственный интеллект</w:t>
            </w:r>
            <w:r/>
          </w:p>
        </w:tc>
        <w:tc>
          <w:tcPr>
            <w:tcBorders>
              <w:left w:val="single" w:color="000000" w:sz="4" w:space="0"/>
              <w:top w:val="single" w:color="000000" w:sz="4" w:space="0"/>
              <w:right w:val="single" w:color="000000" w:sz="4" w:space="0"/>
              <w:bottom w:val="single" w:color="000000" w:sz="4" w:space="0"/>
            </w:tcBorders>
            <w:tcW w:w="1843"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36,6</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Другими приоритетными мероприятиями по созданию новых инновационных кластеров в дополнение к существующим станут: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эффективной модели и институциональной базы сотрудничества томских инновационных предприятий </w:t>
      </w:r>
      <w:r>
        <w:rPr>
          <w:rFonts w:ascii="Arial" w:hAnsi="Arial" w:cs="Arial" w:eastAsia="Arial"/>
          <w:sz w:val="20"/>
          <w:szCs w:val="20"/>
          <w:lang w:val="ru-RU" w:bidi="ru-RU"/>
        </w:rPr>
        <w:t xml:space="preserve">и стартапов с крупными отраслевыми заказчиками в формате "технологических дорожных карт создания новых рынков", в т.ч. поддержка компаний в рамках разработки и презентации инновационных продуктовых портфелей (предложения стандартных, тиражируемых решений).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доступной современной бизнес-инфраструктуры для технологических и ИТ-к</w:t>
      </w:r>
      <w:r>
        <w:rPr>
          <w:rFonts w:ascii="Arial" w:hAnsi="Arial" w:cs="Arial" w:eastAsia="Arial"/>
          <w:sz w:val="20"/>
          <w:szCs w:val="20"/>
          <w:lang w:val="ru-RU" w:bidi="ru-RU"/>
        </w:rPr>
        <w:t xml:space="preserve">омпаний: "оживление" офисных форматов и сервисов, предоставляемых в ОЭЗ, приведение их в соответствие с современными требованиями технологических и инновационных компаний; создание региональных коворкингов и временных рабочих мест для инновационных команд.</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w:t>
      </w:r>
      <w:r>
        <w:rPr>
          <w:rFonts w:ascii="Arial" w:hAnsi="Arial" w:cs="Arial" w:eastAsia="Arial"/>
          <w:sz w:val="20"/>
          <w:szCs w:val="20"/>
          <w:lang w:val="ru-RU" w:bidi="ru-RU"/>
        </w:rPr>
        <w:t xml:space="preserve">е инфраструктуры типа "софт-лэндинг" по привлечению международных компаний и специалистов в регион, обеспечение доступности переезда, получения социальных услуг, поиска жилья и работы членам семей, юридическая, финансовая поддержка создания нового бизнеса.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биржи технологических кадров.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технологической долины (в формате ИНТЦ) для разработчиков передовых технологий в области новой энергетики с предоставлением льгот технологическим компаниям в соответствии с федеральным законодательством.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Субсидирование роста малых инновационных компаний: прямое субсидирование НИОКР, софинансирование участия региональных команд в программах акселерации, поддерживаемых институтами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выхода региональных технологических компаний на глобальный рынок, открытия офисов за рубежом при условии сохранения штаб-квартиры и команд-разработчиков в Томске.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Предоставление льготных условий для строительства частных технопарков.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 по налоговому стимулированию корпоративных НИОКР, испытанию инновационной продукции и ускоренному выводу перспективных продуктов на рынки (фаст-треки).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программ цифровой трансформации промышленных предприятий в регионе.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сети "Точек кипения" как пространств деловой кооперации и коммуникации - создание "Точек кипения" небольшого формата в наиболее крупных городах региона за пределами Томской агломерации.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Индикаторами выполнения задачи станут увеличение доли внутренних затрат на исследования и разработки в валовом региональном продукте с 2,7</w:t>
      </w:r>
      <w:r>
        <w:rPr>
          <w:rFonts w:ascii="Arial" w:hAnsi="Arial" w:cs="Arial" w:eastAsia="Arial"/>
          <w:sz w:val="20"/>
          <w:szCs w:val="20"/>
          <w:lang w:val="ru-RU" w:bidi="ru-RU"/>
        </w:rPr>
        <w:t xml:space="preserve">% в 2020 г. до 3,1% к 2030 г., а также увеличение объема инновационных товаров, работ, услуг организаций Томской области с 19,5 млрд рублей в 2020 г. до 31,2 млрд рублей к 2030 г. Реализация указанных мероприятий также внесет вклад в рост несырьевого неэне</w:t>
      </w:r>
      <w:r>
        <w:rPr>
          <w:rFonts w:ascii="Arial" w:hAnsi="Arial" w:cs="Arial" w:eastAsia="Arial"/>
          <w:sz w:val="20"/>
          <w:szCs w:val="20"/>
          <w:lang w:val="ru-RU" w:bidi="ru-RU"/>
        </w:rPr>
        <w:t xml:space="preserve">ргетического экспорта в структуре экспортного портфеля региона. За счет скоординированного развития кластеров новые специализации экономики Томской области будут обеспечены передовыми кадрами и компаниями, работающими с использованием новых бизнес-моделей.</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1.4. Обеспечить улучшение инвестиционного климата</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повышение качества государственного регулирования,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содействовать укреплению международных и межрегиональных</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связей в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региональной политики в сфере инвестиций - создание условий для регионального бизнеса по поддержанию мощностей, модернизации, расширению существующего производства и выпуску новой продукции за счет создания выгодных условий для инвести</w:t>
      </w:r>
      <w:r>
        <w:rPr>
          <w:rFonts w:ascii="Arial" w:hAnsi="Arial" w:cs="Arial" w:eastAsia="Arial"/>
          <w:sz w:val="20"/>
          <w:szCs w:val="20"/>
          <w:lang w:val="ru-RU" w:bidi="ru-RU"/>
        </w:rPr>
        <w:t xml:space="preserve">рования, а также условий для запуска следующего инвестиционного цикла, в том числе привлечения новых компаний в сектора экспортно ориентированной промышленности и высокотехнологичных услуг, развития передовой производственно-технологической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Приоритетными направлениями для инвестиций в Томскую область до 2030 года являются: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Топливно-энергетический комплекс (ТЭК) мирового уровня: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нефтегазовые сервисы и инжиниринг;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активно развивающиеся энергетические рынки, в т.ч. новая и альтернативная энергетика;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новые технологии добычи.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Кластеры глубокой переработки ресурсов, в том числе экспортно ориентированные: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нефтехимия, малотоннажная химия, фторидные технологии;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лесопромышленный комплекс региона с учетом создания кластерных проектов по производству конечной экспортно ориентированной продукции из древесины;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сектор органических и функциональных продуктов питания (производство пищевых продуктов).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Отрасли новой экономики и новые промышленные рынки: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высокотехнологичный инжиниринг;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микро- и наноэлектроника (производство электронно-вычислительных машин, электронных изделий);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точное машиностроение и передовое оборудование;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ядерные технологии;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точное земледелие на базе цифровых и ИТ-технологий;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ИКТ-технологии;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фармацевтика и медицинские технологии.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4. Непроизводственные кластеры, имеющие высокий мультипликативный эффект: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сектор туризма и сектор городских услуг (объекты гостиничного комплекса, развлекательной, торговой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Строительный комплекс (объекты жилищного строительства, производственное строительство, развитие собственной производственно-технологической базы строительных организаций, производство стройматериалов).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Рос</w:t>
      </w:r>
      <w:r>
        <w:rPr>
          <w:rFonts w:ascii="Arial" w:hAnsi="Arial" w:cs="Arial" w:eastAsia="Arial"/>
          <w:sz w:val="20"/>
          <w:szCs w:val="20"/>
          <w:lang w:val="ru-RU" w:bidi="ru-RU"/>
        </w:rPr>
        <w:t xml:space="preserve">т промышленного производства в регионе обеспечивается во многом за счет отдачи от ранее инвестированных средств. Ведется деятельность по поддержке инвесторов на равных условиях во всех ключевых отраслях региональной экономики, включая нефтедобывающий, нефт</w:t>
      </w:r>
      <w:r>
        <w:rPr>
          <w:rFonts w:ascii="Arial" w:hAnsi="Arial" w:cs="Arial" w:eastAsia="Arial"/>
          <w:sz w:val="20"/>
          <w:szCs w:val="20"/>
          <w:lang w:val="ru-RU" w:bidi="ru-RU"/>
        </w:rPr>
        <w:t xml:space="preserve">еперерабатывающий, лесопромышленный комплекс, сельское хозяйство, машиностроение с опорой на федеральное законодательство в сфере инвестиционной деятельности. С целью расширения пакета мер и механизмов поддержки инвесторов в 2020 г. был принят Федеральный </w:t>
      </w:r>
      <w:hyperlink r:id="rId54" w:tooltip="consultantplus://offline/ref=9ACAA89C6FF58C33776267CAD8136869748291F321E8B854C524F083A7349DB9F4BFD35783C73F15E4AF5B38355Cs4I" w:history="1">
        <w:r>
          <w:rPr>
            <w:rFonts w:ascii="Arial" w:hAnsi="Arial" w:cs="Arial" w:eastAsia="Arial"/>
            <w:color w:val="0000FF"/>
            <w:sz w:val="20"/>
            <w:szCs w:val="20"/>
            <w:lang w:val="ru-RU" w:bidi="ru-RU"/>
          </w:rPr>
          <w:t xml:space="preserve">закон</w:t>
        </w:r>
      </w:hyperlink>
      <w:r>
        <w:rPr>
          <w:rFonts w:ascii="Arial" w:hAnsi="Arial" w:cs="Arial" w:eastAsia="Arial"/>
          <w:sz w:val="20"/>
          <w:szCs w:val="20"/>
          <w:lang w:val="ru-RU" w:bidi="ru-RU"/>
        </w:rPr>
        <w:t xml:space="preserve"> от 1 апреля 2020 года N 69-ФЗ "О защите и поощрении капиталовложений в Российской Федерации".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создания благ</w:t>
      </w:r>
      <w:r>
        <w:rPr>
          <w:rFonts w:ascii="Arial" w:hAnsi="Arial" w:cs="Arial" w:eastAsia="Arial"/>
          <w:sz w:val="20"/>
          <w:szCs w:val="20"/>
          <w:lang w:val="ru-RU" w:bidi="ru-RU"/>
        </w:rPr>
        <w:t xml:space="preserve">оприятного инвестиционного климата в Томской области создана транспортная и инженерная инфраструктура для площадок промышленного парка "Томск", предназначенного для размещения производств субъектов малого и среднего предпринимательства; на территории город</w:t>
      </w:r>
      <w:r>
        <w:rPr>
          <w:rFonts w:ascii="Arial" w:hAnsi="Arial" w:cs="Arial" w:eastAsia="Arial"/>
          <w:sz w:val="20"/>
          <w:szCs w:val="20"/>
          <w:lang w:val="ru-RU" w:bidi="ru-RU"/>
        </w:rPr>
        <w:t xml:space="preserve">ского округа - ЗАТО "Северск" создана территория опережающего социально-экономического развития "Северск"; на региональный уровень переданы полномочия по управлению ОЭЗ ТВТ "Томск"; на 100% внедрены целевые модели по направлениям инвестиционного стандарта </w:t>
      </w:r>
      <w:r>
        <w:rPr>
          <w:rFonts w:ascii="Arial" w:hAnsi="Arial" w:cs="Arial" w:eastAsia="Arial"/>
          <w:sz w:val="20"/>
          <w:szCs w:val="20"/>
          <w:lang w:val="ru-RU" w:bidi="ru-RU"/>
        </w:rPr>
        <w:t xml:space="preserve">(инвестиционное законодательство, инвестиционный портал, канал прямой связи, деятельность специализированной организации по привлечению инвестиций и работе с инвесторами). В период с 2014 года в Томской области реализовано более 40 инвестиционных проектов.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Однако несмотря на предпринимаемые меры, в последние годы регион теряет инвестиционную привлекательность (объем инвестиций снизился с 109,4 млрд рублей в 2014 г. до 101,2 млрд рублей в 202</w:t>
      </w:r>
      <w:r>
        <w:rPr>
          <w:rFonts w:ascii="Arial" w:hAnsi="Arial" w:cs="Arial" w:eastAsia="Arial"/>
          <w:sz w:val="20"/>
          <w:szCs w:val="20"/>
          <w:lang w:val="ru-RU" w:bidi="ru-RU"/>
        </w:rPr>
        <w:t xml:space="preserve">0 г.). Для создания благоприятного инвестиционного климата, роста и поддержки доли инвестиций в основной капитал в ВРП и темпов роста внешнеторгового оборота региона в новых условиях необходимо существенно дополнить реализуемые сегодня проекты и программы.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Меры по реализации инвестиционной политики в Томской области предполагается реализовывать поэтапно.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Этап 1 (2021 - 2023 гг.). Реализация комплекса мер антикризисной стабилизации, которые важны для снятия ряда текущих ограничений и удержания на территории существующих компаний.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Этап 2 (2024 - 2030 гг.). Реализация комплекса мер по повышению инвестиционной привлекательности в долгосрочной перспективе: формирование новой промышленной географии как системы развития современной производственной и логистической инфраструктуры.</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Комплекс мер по антикризисной стабилизации инвестиционного</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климата в регионе (2021 - 2023 гг.)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 Подд</w:t>
      </w:r>
      <w:r>
        <w:rPr>
          <w:rFonts w:ascii="Arial" w:hAnsi="Arial" w:cs="Arial" w:eastAsia="Arial"/>
          <w:sz w:val="20"/>
          <w:szCs w:val="20"/>
          <w:lang w:val="ru-RU" w:bidi="ru-RU"/>
        </w:rPr>
        <w:t xml:space="preserve">ержка промышленных компаний региона и потенциальных инвесторов в борьбе с негативными последствиями пандемии за счет формирования институциональной, организационной и ресурсной базы для реализации задач антикризисной устойчивости по следующим направлениям: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поддержание текущего </w:t>
      </w:r>
      <w:r>
        <w:rPr>
          <w:rFonts w:ascii="Arial" w:hAnsi="Arial" w:cs="Arial" w:eastAsia="Arial"/>
          <w:sz w:val="20"/>
          <w:szCs w:val="20"/>
          <w:lang w:val="ru-RU" w:bidi="ru-RU"/>
        </w:rPr>
        <w:t xml:space="preserve">потока инвестиций, сохранение сформированного потенциала портфеля проектов с учетом роста рисков для бизнеса в условиях постпандемического кризиса (упрощение выдачи разрешений на работу иностранцев, ускоренное получение разрешений на ведение деятельности);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доступности комплектующих, поддержка в подборе поставщиков, организации логистики грузов;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системы расширения регионального сбыта, поиска новых каналов продаж, поддержка международных переговоров;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конс</w:t>
      </w:r>
      <w:r>
        <w:rPr>
          <w:rFonts w:ascii="Arial" w:hAnsi="Arial" w:cs="Arial" w:eastAsia="Arial"/>
          <w:sz w:val="20"/>
          <w:szCs w:val="20"/>
          <w:lang w:val="ru-RU" w:bidi="ru-RU"/>
        </w:rPr>
        <w:t xml:space="preserve">ультирование по вопросам привлечения финансирования в проекты, включая пакеты льгот, под которые может попадать инвестор (компенсационных выплат, участия в нацпроектах). Информационно-консультационная поддержка в рамках подготовки заявок и получения льгот.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программы инвестиций в новые экспортно ориентированные сектора на основе ресурсов, заложе</w:t>
      </w:r>
      <w:r>
        <w:rPr>
          <w:rFonts w:ascii="Arial" w:hAnsi="Arial" w:cs="Arial" w:eastAsia="Arial"/>
          <w:sz w:val="20"/>
          <w:szCs w:val="20"/>
          <w:lang w:val="ru-RU" w:bidi="ru-RU"/>
        </w:rPr>
        <w:t xml:space="preserve">нных в программы развития данных секторов экономики. Поиск возможностей выхода на новые рынки совместно с региональными компаниями и органами исполнительной власти: развитие потенциала региональных лидеров, новых рыночных направлений, поддержка спин-оффов.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программ целевого привлечения инвесторов в новые и перспективные кластеры. Создание новых механизмов поддержки экономически выгодной локализации, в том числе для предприятий целевых кластеров. Применение меха</w:t>
      </w:r>
      <w:r>
        <w:rPr>
          <w:rFonts w:ascii="Arial" w:hAnsi="Arial" w:cs="Arial" w:eastAsia="Arial"/>
          <w:sz w:val="20"/>
          <w:szCs w:val="20"/>
          <w:lang w:val="ru-RU" w:bidi="ru-RU"/>
        </w:rPr>
        <w:t xml:space="preserve">низма защиты и поощрения капиталовложений, в том числе подготовка необходимой нормативно-правовой базы. Расширение мер финансового и налогового стимулирования инвесторов (в том числе применение инвестиционного налогового вычета, расширение видов субсидий).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Использование механизмов СПИК 2.0.</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отдачи от действующих на территории региона инвестиционных площадок, в т.ч. синхронизация с направлениями и проектами регионального развития, более активное участие органов исполнительной власти региона в работе по при</w:t>
      </w:r>
      <w:r>
        <w:rPr>
          <w:rFonts w:ascii="Arial" w:hAnsi="Arial" w:cs="Arial" w:eastAsia="Arial"/>
          <w:sz w:val="20"/>
          <w:szCs w:val="20"/>
          <w:lang w:val="ru-RU" w:bidi="ru-RU"/>
        </w:rPr>
        <w:t xml:space="preserve">влечению новых резидентов. Обеспечение более активного взаимодействия с региональными предприятиями, поиск новых форматов сотрудничества. Реализация мероприятий, направленных на строительство инфраструктуры на территориях ОЭЗ ТВТ "Томск" и ТОСЭР "Северск".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Организационное обеспечение реализации указанных мероприятий на базе действующих в регионе институтов поддержки инвестиционной деятельности или инвестиционных площадок (ОЭЗ, ТОСЭР).</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Комплекс мер по повышению инвестиционной привлекательности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в долгосрочной перспективе (2024 - 2030 гг.)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долгосрочной перспективе основой инвестиционной политики станет формирование новой промышленной географии как системы </w:t>
      </w:r>
      <w:r>
        <w:rPr>
          <w:rFonts w:ascii="Arial" w:hAnsi="Arial" w:cs="Arial" w:eastAsia="Arial"/>
          <w:sz w:val="20"/>
          <w:szCs w:val="20"/>
          <w:lang w:val="ru-RU" w:bidi="ru-RU"/>
        </w:rPr>
        <w:t xml:space="preserve">развития современной производственной и логистической инфраструктуры на территории Томской области (с учетом особенностей территориального развития региона и возможностей каждого муниципального образования), предполагающей реализацию следующих направлений: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специализированных промышленных зон, совмещенных с логистической инфраструктурой. Формирование логистического сервиса на основе цифровых технологий, услуг по цифровому управлению цепочками, поставками и сбытом.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созданных в регионе ОЭЗ и ТОСЭР, формирование на их базе современной бизнес-ориентированной экономической зоны с международным</w:t>
      </w:r>
      <w:r>
        <w:rPr>
          <w:rFonts w:ascii="Arial" w:hAnsi="Arial" w:cs="Arial" w:eastAsia="Arial"/>
          <w:sz w:val="20"/>
          <w:szCs w:val="20"/>
          <w:lang w:val="ru-RU" w:bidi="ru-RU"/>
        </w:rPr>
        <w:t xml:space="preserve">и стандартами качества и широкой номенклатурой сервисов. Томские ОЭЗ и ТОСЭР должны стать лидерами соответствующих рейтингов качества промышленных площадок, в т.ч. за счет эффективной работы проектных команд, работающих с инвесторами на данных территориях.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участия Томской области в созда</w:t>
      </w:r>
      <w:r>
        <w:rPr>
          <w:rFonts w:ascii="Arial" w:hAnsi="Arial" w:cs="Arial" w:eastAsia="Arial"/>
          <w:sz w:val="20"/>
          <w:szCs w:val="20"/>
          <w:lang w:val="ru-RU" w:bidi="ru-RU"/>
        </w:rPr>
        <w:t xml:space="preserve">нии сети районных торгово-логистических центров в связке с другими логистическими узлами Сибири (в частности, Новосибирском, Красноярском, Иркутском как мультимодальными транспортно-логистическими комплексами) для последовательного перемещения продукции То</w:t>
      </w:r>
      <w:r>
        <w:rPr>
          <w:rFonts w:ascii="Arial" w:hAnsi="Arial" w:cs="Arial" w:eastAsia="Arial"/>
          <w:sz w:val="20"/>
          <w:szCs w:val="20"/>
          <w:lang w:val="ru-RU" w:bidi="ru-RU"/>
        </w:rPr>
        <w:t xml:space="preserve">мской области на экспортные рынки и снижения расходов предприятий (по предварительным оценкам, возможно снижение транспортных расходов на 7 - 20%, расходов на погрузочно-разгрузочные работы и хранение на 15 - 30% и общие логистические расходы на 12 - 35%).</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данных направлений будет происходить с учетом перспективной специализации и приоритетных направлений инвестиций в разрезе муниципальных образований: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г. Томск, г. Северск и Томский район как территории для развития новой эко</w:t>
      </w:r>
      <w:r>
        <w:rPr>
          <w:rFonts w:ascii="Arial" w:hAnsi="Arial" w:cs="Arial" w:eastAsia="Arial"/>
          <w:sz w:val="20"/>
          <w:szCs w:val="20"/>
          <w:lang w:val="ru-RU" w:bidi="ru-RU"/>
        </w:rPr>
        <w:t xml:space="preserve">номики и новых промышленных секторов, на базе которых должны размещаться офисы глобально и системно значимых отраслей и компаний, развиваться открытая междисциплинарная креативная/инновационная среда, использоваться механизмы ИНТЦ, инновационных кластеров.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направления инвестиций для данных т</w:t>
      </w:r>
      <w:r>
        <w:rPr>
          <w:rFonts w:ascii="Arial" w:hAnsi="Arial" w:cs="Arial" w:eastAsia="Arial"/>
          <w:sz w:val="20"/>
          <w:szCs w:val="20"/>
          <w:lang w:val="ru-RU" w:bidi="ru-RU"/>
        </w:rPr>
        <w:t xml:space="preserve">ерриторий - отрасли новой экономики и новые промышленные рынки; топливно-энергетический комплекс мирового уровня; кластеры глубокой переработки ресурсов, в том числе экспортно ориентированные; сектор туризма и сектор городских услуг; строительный комплекс.</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Асиновский, Колпашевский, Тегульдетский, Зырянский Первомайский, Кривошеинский, Верхнекетский, Кожевниковский, Шегарский, Бакчарский, Молчановский, Чаинский районы как территории развития новых пр</w:t>
      </w:r>
      <w:r>
        <w:rPr>
          <w:rFonts w:ascii="Arial" w:hAnsi="Arial" w:cs="Arial" w:eastAsia="Arial"/>
          <w:sz w:val="20"/>
          <w:szCs w:val="20"/>
          <w:lang w:val="ru-RU" w:bidi="ru-RU"/>
        </w:rPr>
        <w:t xml:space="preserve">оизводственных центров, на базе которых должны создаваться индустриальные (промышленные) парки (площадки), реализовываться крупные инвестиционные проекты, внедряться элементы инновационной инфраструктуры для оказания технологических и инжиниринговых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направления инвестиций - кластеры глубокой переработки ресурсов, в том числе экспортно ориентированные; строительный комплекс.</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г. Кедровый, г. Стрежевой, Александровский, Каргасокский, Парабельский район</w:t>
      </w:r>
      <w:r>
        <w:rPr>
          <w:rFonts w:ascii="Arial" w:hAnsi="Arial" w:cs="Arial" w:eastAsia="Arial"/>
          <w:sz w:val="20"/>
          <w:szCs w:val="20"/>
          <w:lang w:val="ru-RU" w:bidi="ru-RU"/>
        </w:rPr>
        <w:t xml:space="preserve">ы как территории, требующие диверсификации экономики, на которых необходимо создавать деловые площадки, развиваться инфраструктура сервисного обслуживания районов Севера, Арктических территорий (реализация нефтесервисов, пилотирование технологий освоения).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направления инвестиций - топливно-энергетический комплекс (ТЭК) мирового уровня; строительный комплекс.</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Развитие инвестиционной инфраструктуры Томской области является обязательным условием повышения инвестиционной привлекательности региона.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Направления развития инвестиционной инфраструктуры</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Сегодня инвестиционная инфраструктура Томской области представлена следующими элементами - особой экономической зоной, промышленным (индустриальным) парком, территорией опережающего социально-экономического развития "Северск".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Ядром инвестицион</w:t>
      </w:r>
      <w:r>
        <w:rPr>
          <w:rFonts w:ascii="Arial" w:hAnsi="Arial" w:cs="Arial" w:eastAsia="Arial"/>
          <w:sz w:val="20"/>
          <w:szCs w:val="20"/>
          <w:lang w:val="ru-RU" w:bidi="ru-RU"/>
        </w:rPr>
        <w:t xml:space="preserve">ной инфраструктуры является особая экономическая зона технико-внедренческого типа "Томск" (далее - ОЭЗ). Специализациями ОЭЗ являются ИТ и электроника, медицинские и биотехнологии, нанотехнологии и новые материалы, ресурсосберегающие технологии. Динамичное</w:t>
      </w:r>
      <w:r>
        <w:rPr>
          <w:rFonts w:ascii="Arial" w:hAnsi="Arial" w:cs="Arial" w:eastAsia="Arial"/>
          <w:sz w:val="20"/>
          <w:szCs w:val="20"/>
          <w:lang w:val="ru-RU" w:bidi="ru-RU"/>
        </w:rPr>
        <w:t xml:space="preserve"> развитие в ОЭЗ получили такие направления деятельности, как фармацевтика, производство медицинских изделий, приборостроение, информационные технологии и новые материалы. Среди наиболее перспективных направлений можно выделить СВЧ-электронику и нефтехимию.</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Новый этап в развитии ОЭЗ будет связан с проведением мероприятий по привлечению на территорию ОЭЗ инвесторов, девелоперов и высокотехнологичных компаний, развитием новых проектов и стартапов.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Ключевыми активностями в ОЭЗ станут создание креативного пространства, реализация акселерационной программы, аккумулирующей региональные стартапы и высокотехнологичный бизнес; проведение на территории ОЭЗ мероприятий по развитию инновационной </w:t>
      </w:r>
      <w:r>
        <w:rPr>
          <w:rFonts w:ascii="Arial" w:hAnsi="Arial" w:cs="Arial" w:eastAsia="Arial"/>
          <w:sz w:val="20"/>
          <w:szCs w:val="20"/>
          <w:lang w:val="ru-RU" w:bidi="ru-RU"/>
        </w:rPr>
        <w:t xml:space="preserve">инфраструктуры, прежде всего за счет деятельности регионального оператора "Сколково", что позволит активизировать интерес высокотехнологичного бизнеса к ОЭЗ. Кроме того, рассматривается возможность размещения инновационной инфраструктуры на территории ОЭЗ.</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направления развития ОЭЗ:</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инфраструктуры и сервисов для предприятий, ориентированных на инновационную продукцию;</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административно-деловой инфраструктуры, включая создание экспоцентра.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Промышленный парк "Томск" предназначен для размещения производств субъектами малого и среднего предпринимательства и представляет собой комплекс инфраструктурно-подготовленных земельных участков общей пл</w:t>
      </w:r>
      <w:r>
        <w:rPr>
          <w:rFonts w:ascii="Arial" w:hAnsi="Arial" w:cs="Arial" w:eastAsia="Arial"/>
          <w:sz w:val="20"/>
          <w:szCs w:val="20"/>
          <w:lang w:val="ru-RU" w:bidi="ru-RU"/>
        </w:rPr>
        <w:t xml:space="preserve">ощадью около 140 га. Создание и функционирование промышленного парка будет направлено на ускоренное создание высокотехнологичных и конкурентоспособных производств за счет подготовленной инфраструктуры, развитие точек роста и экспортного потенциала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Приоритетным сегментом останутся малотоннажные производства, в том ч</w:t>
      </w:r>
      <w:r>
        <w:rPr>
          <w:rFonts w:ascii="Arial" w:hAnsi="Arial" w:cs="Arial" w:eastAsia="Arial"/>
          <w:sz w:val="20"/>
          <w:szCs w:val="20"/>
          <w:lang w:val="ru-RU" w:bidi="ru-RU"/>
        </w:rPr>
        <w:t xml:space="preserve">исле ключевыми отраслями будут являться химическое и нефтехимическое производство, производство пластмасс и строительных материалов, что будет способствовать дальнейшему развитию и усилению производственной кооперации в рамках Северного промышленного узла.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Развитие промышленного парка будет связано с расширением масштабов деятельности резидентов и доращиванием предп</w:t>
      </w:r>
      <w:r>
        <w:rPr>
          <w:rFonts w:ascii="Arial" w:hAnsi="Arial" w:cs="Arial" w:eastAsia="Arial"/>
          <w:sz w:val="20"/>
          <w:szCs w:val="20"/>
          <w:lang w:val="ru-RU" w:bidi="ru-RU"/>
        </w:rPr>
        <w:t xml:space="preserve">риятий в целях перехода в следующую категорию (микро-малые-средние). Также промышленный парк сохранит предназначение в качестве площадки для перехода резидентов ОЭЗ от технико-внедренческой деятельности к промышленному производству инновационной продукции.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направления развития промышленного парка: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необходимой инфраструктуры для действующих и потенциальных резидентов;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привлечение новых резидентов на площадки промышленного парка;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интеграция деятельности компаний-резидентов в высокотехнологические производственные кластеры региона и цепочки глобальных поставок;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эффективности управления территорией промышленного парка, развитие сервисных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обеспечения транспортной доступности.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Территория опережающего социально-экономического развития "Северск" направлена как на решение стратегических задач развития атомной отрасли, так и на диверсификацию экономики</w:t>
      </w:r>
      <w:r>
        <w:rPr>
          <w:rFonts w:ascii="Arial" w:hAnsi="Arial" w:cs="Arial" w:eastAsia="Arial"/>
          <w:sz w:val="20"/>
          <w:szCs w:val="20"/>
          <w:lang w:val="ru-RU" w:bidi="ru-RU"/>
        </w:rPr>
        <w:t xml:space="preserve"> ЗАТО Северск и формирование кластерного развития территории в приоритетных отраслях специализации (в том числе высокотехнологичная химия, фармацевтика и медицинская промышленность, машиностроение, информационные технологии, производство современных строит</w:t>
      </w:r>
      <w:r>
        <w:rPr>
          <w:rFonts w:ascii="Arial" w:hAnsi="Arial" w:cs="Arial" w:eastAsia="Arial"/>
          <w:sz w:val="20"/>
          <w:szCs w:val="20"/>
          <w:lang w:val="ru-RU" w:bidi="ru-RU"/>
        </w:rPr>
        <w:t xml:space="preserve">ельных материалов, пищевая промышленность). На территории ТОР "Северск" разрешено осуществление 16 видов экономической деятельности со специализацией на высокотехнологичной химии, медицинской промышленности, ядерных материалах, машиностроении и IT-отрасли.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Развитие ТОР "Северск" определяется в соответствии с Планом перспективного развития. До 2030 года планируется привлечь около 30 резидентов, создать более 1000 рабочих мест, привлечь в проекты резидентов более 15 млрд рублей инвестиций.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Развитие ТОР "Северск" планируется в виде площадок для размещения производств субъектов малого и среднего предпринимательства, обеспеченных готовой инфраструктуро</w:t>
      </w:r>
      <w:r>
        <w:rPr>
          <w:rFonts w:ascii="Arial" w:hAnsi="Arial" w:cs="Arial" w:eastAsia="Arial"/>
          <w:sz w:val="20"/>
          <w:szCs w:val="20"/>
          <w:lang w:val="ru-RU" w:bidi="ru-RU"/>
        </w:rPr>
        <w:t xml:space="preserve">й, и специализированных площадок для отдельных сегментов рынка, на которых возможно размещение крупных производств, в том числе в целях коммерциализации гражданских технологий, разработанных на АО "СХК", и иных компаний, входящих в Госкорпорацию "Росатом".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направления развития ТОР "Северск":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необходимой инфраструктуры для действующих и потенциальных резидентов;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привлечение новых резидентов;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кластеров поставщиков в непосредственной близости от предприятий атомной отрасли;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привлечение внешних инвесторов, реализующих проекты по импортозамещению в смежных отраслях, с целью сохранения кадрового потенциала ЗАТО Северск;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мероприятий, направленных на сохранение кадрового потенциала ЗАТО Северск.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инвес</w:t>
      </w:r>
      <w:r>
        <w:rPr>
          <w:rFonts w:ascii="Arial" w:hAnsi="Arial" w:cs="Arial" w:eastAsia="Arial"/>
          <w:sz w:val="20"/>
          <w:szCs w:val="20"/>
          <w:lang w:val="ru-RU" w:bidi="ru-RU"/>
        </w:rPr>
        <w:t xml:space="preserve">тиционной политики в регионе будет способствовать росту к 2030 году объемов инвестиций в основной капитал, за исключением инвестиций инфраструктурных монополий (федеральных проектов) и бюджетных ассигнований федерального бюджета, на 70% к уровню 2020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Рост объемов</w:t>
      </w:r>
      <w:r>
        <w:rPr>
          <w:rFonts w:ascii="Arial" w:hAnsi="Arial" w:cs="Arial" w:eastAsia="Arial"/>
          <w:sz w:val="20"/>
          <w:szCs w:val="20"/>
          <w:lang w:val="ru-RU" w:bidi="ru-RU"/>
        </w:rPr>
        <w:t xml:space="preserve"> инвестиций и повышение инвестиционной привлекательности Томской области в том числе будут основаны на укреплении межрегионального сотрудничества и внешнеэкономической деятельности, в частности, для обеспечения роста несырьевого неэнергетического экспорта.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Томской области последоват</w:t>
      </w:r>
      <w:r>
        <w:rPr>
          <w:rFonts w:ascii="Arial" w:hAnsi="Arial" w:cs="Arial" w:eastAsia="Arial"/>
          <w:sz w:val="20"/>
          <w:szCs w:val="20"/>
          <w:lang w:val="ru-RU" w:bidi="ru-RU"/>
        </w:rPr>
        <w:t xml:space="preserve">ельно проводится политика "открытого региона", направленная на повышение степени интеграции в мировое сообщество, всестороннее развитие и укрепление внешних связей как с российскими регионами, так и с зарубежными странами. Международное и межрегиональное с</w:t>
      </w:r>
      <w:r>
        <w:rPr>
          <w:rFonts w:ascii="Arial" w:hAnsi="Arial" w:cs="Arial" w:eastAsia="Arial"/>
          <w:sz w:val="20"/>
          <w:szCs w:val="20"/>
          <w:lang w:val="ru-RU" w:bidi="ru-RU"/>
        </w:rPr>
        <w:t xml:space="preserve">отрудничество является одним из важных инструментов комплексного развития Томской области. Помимо активизации экспортной деятельности, такое сотрудничество способствует росту конкурентоспособности региональной промышленности через привлечение новых техноло</w:t>
      </w:r>
      <w:r>
        <w:rPr>
          <w:rFonts w:ascii="Arial" w:hAnsi="Arial" w:cs="Arial" w:eastAsia="Arial"/>
          <w:sz w:val="20"/>
          <w:szCs w:val="20"/>
          <w:lang w:val="ru-RU" w:bidi="ru-RU"/>
        </w:rPr>
        <w:t xml:space="preserve">гий и экспертизы, позитивно влияет на качество услуг, оказываемых населению Томской области в различных сферах (образование, здравоохранение, культура, туризм и т.д.), тем самым повышая привлекательность региона в качестве места для жизни, работы и отдыха.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Развитию международного и межрегионального сотрудничества сп</w:t>
      </w:r>
      <w:r>
        <w:rPr>
          <w:rFonts w:ascii="Arial" w:hAnsi="Arial" w:cs="Arial" w:eastAsia="Arial"/>
          <w:sz w:val="20"/>
          <w:szCs w:val="20"/>
          <w:lang w:val="ru-RU" w:bidi="ru-RU"/>
        </w:rPr>
        <w:t xml:space="preserve">особствует проведение имиджевых и презентационных мероприятий; совершенствование механизмов межрегиональной интеграции и международной кооперации; информационное продвижение Томской области за ее пределами; создание и развитие инфраструктуры для успешной р</w:t>
      </w:r>
      <w:r>
        <w:rPr>
          <w:rFonts w:ascii="Arial" w:hAnsi="Arial" w:cs="Arial" w:eastAsia="Arial"/>
          <w:sz w:val="20"/>
          <w:szCs w:val="20"/>
          <w:lang w:val="ru-RU" w:bidi="ru-RU"/>
        </w:rPr>
        <w:t xml:space="preserve">еализации международных и межрегиональных связей; установление и поддержание устойчивых политических, экономических и культурных связей с регионами Российской Федерации и с зарубежными странами; расширение сотрудничества с иностранными партнерами в рамках </w:t>
      </w:r>
      <w:r>
        <w:rPr>
          <w:rFonts w:ascii="Arial" w:hAnsi="Arial" w:cs="Arial" w:eastAsia="Arial"/>
          <w:sz w:val="20"/>
          <w:szCs w:val="20"/>
          <w:lang w:val="ru-RU" w:bidi="ru-RU"/>
        </w:rPr>
        <w:t xml:space="preserve">международных организаций; проведение семинаров, конференций, мастер-классов с участием ведущих российских и зарубежных специалистов по широкому спектру проблем, актуальных для экономического, научно-образовательного и культурного развития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Основными направлениями взаимодействия Томской области с зарубежными странами по-прежнему являются торгово-экономическое, научно-образовательное и гуманитарное сотрудничество. На</w:t>
      </w:r>
      <w:r>
        <w:rPr>
          <w:rFonts w:ascii="Arial" w:hAnsi="Arial" w:cs="Arial" w:eastAsia="Arial"/>
          <w:sz w:val="20"/>
          <w:szCs w:val="20"/>
          <w:lang w:val="ru-RU" w:bidi="ru-RU"/>
        </w:rPr>
        <w:t xml:space="preserve">лажена практика заключения международных соглашений с правительствами и отдельными организациями (включая научные и образовательные) стран-партнеров СНГ, Европы и Азии. В целях развития и расширения социально-экономических связей Томской областью заключают</w:t>
      </w:r>
      <w:r>
        <w:rPr>
          <w:rFonts w:ascii="Arial" w:hAnsi="Arial" w:cs="Arial" w:eastAsia="Arial"/>
          <w:sz w:val="20"/>
          <w:szCs w:val="20"/>
          <w:lang w:val="ru-RU" w:bidi="ru-RU"/>
        </w:rPr>
        <w:t xml:space="preserve">ся соглашения с регионами Российской Федерации о торгово-экономическом, научно-техническом, социальном и культурном сотрудничестве и утверждаются планы мероприятий по их реализации (действует 31 соглашение с правительствами субъектов Российской Федерации).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Региону необходимо расширять комплекс мер и мероприятий, направленных на повышение открытости региона, создание и продвижение благоприятного имиджа, в т.ч. используя новые форматы организации сотрудничества, компенсирующие ограничения очного присутствия.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частности, существует необходимость более активного участия Томской об</w:t>
      </w:r>
      <w:r>
        <w:rPr>
          <w:rFonts w:ascii="Arial" w:hAnsi="Arial" w:cs="Arial" w:eastAsia="Arial"/>
          <w:sz w:val="20"/>
          <w:szCs w:val="20"/>
          <w:lang w:val="ru-RU" w:bidi="ru-RU"/>
        </w:rPr>
        <w:t xml:space="preserve">ласти в новых межрегиональных инициативах, в том числе инициативах развития Южно-Сибирского макрорегиона. Так, ОАО "РЖД" реализует комплексную модернизацию Транссибирской и Байкало-Амурской магистрали в целях повышения совокупной пропускной способности дан</w:t>
      </w:r>
      <w:r>
        <w:rPr>
          <w:rFonts w:ascii="Arial" w:hAnsi="Arial" w:cs="Arial" w:eastAsia="Arial"/>
          <w:sz w:val="20"/>
          <w:szCs w:val="20"/>
          <w:lang w:val="ru-RU" w:bidi="ru-RU"/>
        </w:rPr>
        <w:t xml:space="preserve">ных железных дорог, что позволит регионам Южно-Сибирского макрорегиона увеличить объемы продукции, экспортируемой в страны Азиатско-Тихоокеанского региона, в частности зерна и угля, а также обеспечит транзитный грузопоток через макрорегион из данных стран.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контексте расширения межрегиональной кооперации для уровня муниципальных образований Томской области значимы: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интеграция в систему активно развивающихся деловых центров страны (расширение аэропорта и сети рейсов);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межрегиональных партнерств по направлениям развития перспективных межрегиональных кластеров / новых индустриальных цепочек, в частности: в сфере новой энергетики и новой химии партнерство с Тюменью - ХМАО</w:t>
      </w:r>
      <w:r>
        <w:rPr>
          <w:rFonts w:ascii="Arial" w:hAnsi="Arial" w:cs="Arial" w:eastAsia="Arial"/>
          <w:sz w:val="20"/>
          <w:szCs w:val="20"/>
          <w:lang w:val="ru-RU" w:bidi="ru-RU"/>
        </w:rPr>
        <w:t xml:space="preserve">, Сахалинской областью, Санкт-Петербургом; в сфере лесопереработки - с Красноярском, Иркутском; в сфере интеграции в рынки АТР - с Хабаровском, Владивостоком; в сфере ИТ, медицины, агробиотеха - с Казанью, Нижним Новгородом, Ростовом-на-Дону и Краснодаром;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интеграция в потребительские рынки сибирских цен</w:t>
      </w:r>
      <w:r>
        <w:rPr>
          <w:rFonts w:ascii="Arial" w:hAnsi="Arial" w:cs="Arial" w:eastAsia="Arial"/>
          <w:sz w:val="20"/>
          <w:szCs w:val="20"/>
          <w:lang w:val="ru-RU" w:bidi="ru-RU"/>
        </w:rPr>
        <w:t xml:space="preserve">тров: реализация совместных межмуниципальных проектов в сфере развития социальных услуг, в том числе цифровых; реализация транспортно-логистических проектов; создание новых межрегиональных туристско-рекреационных маршрутов. Основные направления интеграции </w:t>
      </w:r>
      <w:r>
        <w:rPr>
          <w:rFonts w:ascii="Arial" w:hAnsi="Arial" w:cs="Arial" w:eastAsia="Arial"/>
          <w:sz w:val="20"/>
          <w:szCs w:val="20"/>
          <w:lang w:val="ru-RU" w:bidi="ru-RU"/>
        </w:rPr>
        <w:t xml:space="preserve">районов Томской области: Зырянский, Тегульдетский районы - по направлению к Красноярску; Кожевниковский, Шегарский районы - по направлению к Новосибирску, Кемерово; Александровский, Стрежевой, Каргасокский районы - по направлению к Нижневартовску, Сургуту.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Одним из приоритетных направлений международной кооперации является</w:t>
      </w:r>
      <w:r>
        <w:rPr>
          <w:rFonts w:ascii="Arial" w:hAnsi="Arial" w:cs="Arial" w:eastAsia="Arial"/>
          <w:sz w:val="20"/>
          <w:szCs w:val="20"/>
          <w:lang w:val="ru-RU" w:bidi="ru-RU"/>
        </w:rPr>
        <w:t xml:space="preserve"> развитие экспорта. Благодаря проводимой политике в сфере развития экспортной деятельности показатель объемов экспорта остается стабильным и составил в 2020 году 310,1 млн долл. США, даже несмотря на снижение экспорта топливно-энергетических товаров по сра</w:t>
      </w:r>
      <w:r>
        <w:rPr>
          <w:rFonts w:ascii="Arial" w:hAnsi="Arial" w:cs="Arial" w:eastAsia="Arial"/>
          <w:sz w:val="20"/>
          <w:szCs w:val="20"/>
          <w:lang w:val="ru-RU" w:bidi="ru-RU"/>
        </w:rPr>
        <w:t xml:space="preserve">внению с уровнем 2019 года. Экспорт услуг в 2020 году составил 59,92 млн долл. США. При этом по объемам экспорта услуг в сфере ИТ в 2020 г. Томская область заняла в СФО второе место с долей от общего экспорта таких услуг в СФО - 17,9% (35,3 млн долл. США).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w:t>
      </w:r>
      <w:r>
        <w:rPr>
          <w:rFonts w:ascii="Arial" w:hAnsi="Arial" w:cs="Arial" w:eastAsia="Arial"/>
          <w:sz w:val="20"/>
          <w:szCs w:val="20"/>
          <w:lang w:val="ru-RU" w:bidi="ru-RU"/>
        </w:rPr>
        <w:t xml:space="preserve">егионе растет число компаний-экспортеров (по итогам 2020 г. прирост составил 13% по отношению к аналогичному периоду 2019 года), в т.ч. увеличивается число МСП, осуществляющих экспортную деятельность (в 2020 г. увеличилось в 4 раза по сравнению с 2015 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Отраслевая и географичес</w:t>
      </w:r>
      <w:r>
        <w:rPr>
          <w:rFonts w:ascii="Arial" w:hAnsi="Arial" w:cs="Arial" w:eastAsia="Arial"/>
          <w:sz w:val="20"/>
          <w:szCs w:val="20"/>
          <w:lang w:val="ru-RU" w:bidi="ru-RU"/>
        </w:rPr>
        <w:t xml:space="preserve">кая структура экспорта Томской области относительно обширна и стабильна. Однако, несмотря на рост числа экспортируемых товарных позиций и стран-импортеров, наблюдается высокая специализация экспорта с преобладанием в экспортных поставках продукции из древе</w:t>
      </w:r>
      <w:r>
        <w:rPr>
          <w:rFonts w:ascii="Arial" w:hAnsi="Arial" w:cs="Arial" w:eastAsia="Arial"/>
          <w:sz w:val="20"/>
          <w:szCs w:val="20"/>
          <w:lang w:val="ru-RU" w:bidi="ru-RU"/>
        </w:rPr>
        <w:t xml:space="preserve">сины (55,5% от общего экспорта товаров Томской области в 2019 г.), топлива (17,1%), электрических устройств, аппаратуры связи (8,7%). Кроме того, отмечается увеличение концентрации экспорта в три крупнейшие страны-импортера - Китай, Узбекистан и Казахстан.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Благодаря созданию в Томской области Центра поддержки экспорта оказыва</w:t>
      </w:r>
      <w:r>
        <w:rPr>
          <w:rFonts w:ascii="Arial" w:hAnsi="Arial" w:cs="Arial" w:eastAsia="Arial"/>
          <w:sz w:val="20"/>
          <w:szCs w:val="20"/>
          <w:lang w:val="ru-RU" w:bidi="ru-RU"/>
        </w:rPr>
        <w:t xml:space="preserve">ется информационно-аналитическая, консультационная и организационная поддержка для экспортно ориентированных субъектов МСП. Кроме того, ряд сервисов для компаний-экспортеров осуществляется на базе региональной цифровой платформы Томской области tomsk.life.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 дальнейшем развитии экспортной деятельности региону необходимо учитывать тенденции в глобальной экономике, в числе которых: замедление глобального экономического роста и снижение спроса на сырьевые то</w:t>
      </w:r>
      <w:r>
        <w:rPr>
          <w:rFonts w:ascii="Arial" w:hAnsi="Arial" w:cs="Arial" w:eastAsia="Arial"/>
          <w:sz w:val="20"/>
          <w:szCs w:val="20"/>
          <w:lang w:val="ru-RU" w:bidi="ru-RU"/>
        </w:rPr>
        <w:t xml:space="preserve">вары; повышение роли услуг в международной торговле; постепенное перемещение центров спроса и предложения на товары и услуги в страны Юго-Восточной Азии и Латинской Америки, значительный рост потребления в странах Африки; появление новых технологически сло</w:t>
      </w:r>
      <w:r>
        <w:rPr>
          <w:rFonts w:ascii="Arial" w:hAnsi="Arial" w:cs="Arial" w:eastAsia="Arial"/>
          <w:sz w:val="20"/>
          <w:szCs w:val="20"/>
          <w:lang w:val="ru-RU" w:bidi="ru-RU"/>
        </w:rPr>
        <w:t xml:space="preserve">жных товаров, производимых в рамках глобальных цепочек добавленной стоимости; вовлечение все большего числа малых и средних предприятий в глобальную торговлю; усиление конкуренции на рынках промышленных товаров за счет индустриализации развивающихся стран.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Ключевыми барьерами, с которыми сталкиваются экспортеры и потенциальные экспортеры Томской области, являются: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низкий уровень развития транспортной инфраструктуры и удаленность от основных транспортных узлов и рынков сбыта продукции, что обуславливает повышенные транспортные издержки для экспортирующих предприятий и повышенные сроки доставки грузов;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недостаточная информированность партнеров из иностранных государств о Томской области, ее производственном и экспортном потенциале и конкурентных преимуществах;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сравнительно слабая инфраструктура сервисов в сфере внешнеэкономической деятельности, представленных в регионе;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сложности и затраты для предприятий, связанные с поиском информации, необходимой для экспорта продукции, о состоянии зарубежных и российских рынков, а также с поиском и проверкой зарубежных партнеров;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нехватка собственных финансовых средств и </w:t>
      </w:r>
      <w:r>
        <w:rPr>
          <w:rFonts w:ascii="Arial" w:hAnsi="Arial" w:cs="Arial" w:eastAsia="Arial"/>
          <w:sz w:val="20"/>
          <w:szCs w:val="20"/>
          <w:lang w:val="ru-RU" w:bidi="ru-RU"/>
        </w:rPr>
        <w:t xml:space="preserve">трудности в получении коммерческих кредитов для модернизации производственной базы, финансирования экспортных контрактов; необходимость значительных финансовых и информационных ресурсов для продвижения продукции, в первую очередь инновационной, на экспорт;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сложности с сертификацией продукции, необходимость подтверждения соответствия экспортных товаров международным требованиям и стандартам;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высокие административные и регуляторные барьеры (сложность таможенных процедур, валютный контроль, длительность и сложность процедуры возврата экспортного НДС);</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недостаток необходимых высококвалифицированных кадров, в том числе в сфере внешнеэкономической деятельности, задействованных в экспорто ориентированных секторах экономики.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снижения воздействия данных ограничений и рисков планируется реализовать систему мер поддержки экспорта на территории региона, в том числе запустить дополнительное направление развития: Международные экспортные коридоры для несырьевого экспорта.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Международные экспортные коридоры для несырьевого экспорта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Цель развития экспортной деятельности и внешнеэкономических связей Томской области - устойчивое наращивание объемов экспорта региона за счет опережающего роста несырьевых неэнергетических товаров и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Приоритетами развития экспорта д</w:t>
      </w:r>
      <w:r>
        <w:rPr>
          <w:rFonts w:ascii="Arial" w:hAnsi="Arial" w:cs="Arial" w:eastAsia="Arial"/>
          <w:sz w:val="20"/>
          <w:szCs w:val="20"/>
          <w:lang w:val="ru-RU" w:bidi="ru-RU"/>
        </w:rPr>
        <w:t xml:space="preserve">олжны стать наращивание числа экспортеров на существующей товарной номенклатуре; диверсификация товарной структуры экспорта в пользу продукции средних и высоких переделов и высокотехнологичной продукции и услуг, включая органические продукты, изделия из де</w:t>
      </w:r>
      <w:r>
        <w:rPr>
          <w:rFonts w:ascii="Arial" w:hAnsi="Arial" w:cs="Arial" w:eastAsia="Arial"/>
          <w:sz w:val="20"/>
          <w:szCs w:val="20"/>
          <w:lang w:val="ru-RU" w:bidi="ru-RU"/>
        </w:rPr>
        <w:t xml:space="preserve">рева, продукцию химического инжиниринга, микроэлектронику, ИТ-продукцию, инжиниринговые услуги; расширение географии экспорта предприятий региона; увеличение степени вовлеченности предприятий региона (в том числе малых и средних) в экспортную деятельность.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"Точки роста" экспорта могут быть сгруппированы в следующие основные сферы деятельности в соответствии с </w:t>
      </w:r>
      <w:hyperlink r:id="rId55" w:tooltip="consultantplus://offline/ref=9ACAA89C6FF58C33776267CAD8136869748290F22AEEB854C524F083A7349DB9F4BFD35783C73F15E4AF5B38355Cs4I" w:history="1">
        <w:r>
          <w:rPr>
            <w:rFonts w:ascii="Arial" w:hAnsi="Arial" w:cs="Arial" w:eastAsia="Arial"/>
            <w:color w:val="0000FF"/>
            <w:sz w:val="20"/>
            <w:szCs w:val="20"/>
            <w:lang w:val="ru-RU" w:bidi="ru-RU"/>
          </w:rPr>
          <w:t xml:space="preserve">ОКВЭД-2</w:t>
        </w:r>
      </w:hyperlink>
      <w:r>
        <w:rPr>
          <w:rFonts w:ascii="Arial" w:hAnsi="Arial" w:cs="Arial" w:eastAsia="Arial"/>
          <w:sz w:val="20"/>
          <w:szCs w:val="20"/>
          <w:lang w:val="ru-RU" w:bidi="ru-RU"/>
        </w:rPr>
        <w:t xml:space="preserve">: нефтегазодобыча; химия, нефтехимия, нефтепереработка; лесная и деревообрабатывающая промышленность; сельское хозяйство и пищевая п</w:t>
      </w:r>
      <w:r>
        <w:rPr>
          <w:rFonts w:ascii="Arial" w:hAnsi="Arial" w:cs="Arial" w:eastAsia="Arial"/>
          <w:sz w:val="20"/>
          <w:szCs w:val="20"/>
          <w:lang w:val="ru-RU" w:bidi="ru-RU"/>
        </w:rPr>
        <w:t xml:space="preserve">ромышленность; машины, оборудование и комплектующие, в т.ч. атомная промышленность, электроника и точное машиностроение; ИТ, автоматизация, цифровые решения; медицинские услуги и технологии; индустрия туризма, творчества и развлечений; наука и образование.</w:t>
      </w:r>
      <w:r>
        <w:rPr>
          <w:rFonts w:ascii="Arial" w:hAnsi="Arial" w:cs="Arial" w:eastAsia="Arial"/>
          <w:sz w:val="20"/>
          <w:szCs w:val="20"/>
          <w:lang w:val="ru-RU" w:bidi="ru-RU"/>
        </w:rPr>
        <w:t xml:space="preserve"> Совокупный потенциал экспорта этих отраслей оценивается в величину порядка 58 млн долл. США, что составляет около 18% от объемов товарного экспорта Томской области в 2018 г. Целевой срок реализации экспортного потенциала в этих отраслях составляет 10 лет.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Результаты анализа перспективных рынков сбыта для Томской области позволяют выявить приоритетные рынки сбыта про</w:t>
      </w:r>
      <w:r>
        <w:rPr>
          <w:rFonts w:ascii="Arial" w:hAnsi="Arial" w:cs="Arial" w:eastAsia="Arial"/>
          <w:sz w:val="20"/>
          <w:szCs w:val="20"/>
          <w:lang w:val="ru-RU" w:bidi="ru-RU"/>
        </w:rPr>
        <w:t xml:space="preserve">дукции Томской области. Согласно расчетам, порядка 21,1 млн долл. потенциального экспорта (38,2%) приходится на Китай; 11,1 млн долл. (20,1%) - на Казахстан и около 8,8 млн долл. (15,9%) - на Узбекистан. Относительно высокие объемы потенциального экспорта </w:t>
      </w:r>
      <w:r>
        <w:rPr>
          <w:rFonts w:ascii="Arial" w:hAnsi="Arial" w:cs="Arial" w:eastAsia="Arial"/>
          <w:sz w:val="20"/>
          <w:szCs w:val="20"/>
          <w:lang w:val="ru-RU" w:bidi="ru-RU"/>
        </w:rPr>
        <w:t xml:space="preserve">приходятся на Беларусь - 2,1 млн долл. (3,7%), Нидерланды - 1,2 млн долл. (2,1%). Таким образом, приоритетными рынками сбыта для Томской области являются Китай, страны СНГ (прежде всего Казахстан, Узбекистан, Беларусь), страны ЕС (прежде всего Нидерланды).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доступа к передовым зарубежным технологическим решениям и экспертизе для представителей отраслевых организаций в целях повышения конкурентоспособности региональной промышленности, развития импортозамещения и усиления экспортного потенциала.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комплекса меро</w:t>
      </w:r>
      <w:r>
        <w:rPr>
          <w:rFonts w:ascii="Arial" w:hAnsi="Arial" w:cs="Arial" w:eastAsia="Arial"/>
          <w:sz w:val="20"/>
          <w:szCs w:val="20"/>
          <w:lang w:val="ru-RU" w:bidi="ru-RU"/>
        </w:rPr>
        <w:t xml:space="preserve">приятий, направленных на формирование позитивного имиджа и повышение узнаваемости Томской области за рубежом, рост конкурентоспособности региона в качестве места для комфортной жизни, работы и отдыха. Обеспечение обмена лучшими международными практиками и </w:t>
      </w:r>
      <w:r>
        <w:rPr>
          <w:rFonts w:ascii="Arial" w:hAnsi="Arial" w:cs="Arial" w:eastAsia="Arial"/>
          <w:sz w:val="20"/>
          <w:szCs w:val="20"/>
          <w:lang w:val="ru-RU" w:bidi="ru-RU"/>
        </w:rPr>
        <w:t xml:space="preserve">опытом в различных сферах управления и жизнедеятельности (образование, здравоохранение, комфортная городская среда, культура, туризм и т.д.) в целях повышения качества оказываемых услуг на территории региона и сохранения/привлечения человеческого капитала.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цифровой платформы по анализу информации об экспортной деятельности, существующих и потенциальных экспортеров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сервиса "экспортного посредника" или ассистента для помощи начинающим экспортерам из числа МСП в осуществлени</w:t>
      </w:r>
      <w:r>
        <w:rPr>
          <w:rFonts w:ascii="Arial" w:hAnsi="Arial" w:cs="Arial" w:eastAsia="Arial"/>
          <w:sz w:val="20"/>
          <w:szCs w:val="20"/>
          <w:lang w:val="ru-RU" w:bidi="ru-RU"/>
        </w:rPr>
        <w:t xml:space="preserve">и экспортных сделок, сервисного центра, в функции которого будет входить содействие в подготовке документов, связанных с экспортной деятельностью, включая документы, необходимые для прохождения сертификации региональными компаниями, работающими на экспорт.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w:t>
      </w:r>
      <w:r>
        <w:rPr>
          <w:rFonts w:ascii="Arial" w:hAnsi="Arial" w:cs="Arial" w:eastAsia="Arial"/>
          <w:sz w:val="20"/>
          <w:szCs w:val="20"/>
          <w:lang w:val="ru-RU" w:bidi="ru-RU"/>
        </w:rPr>
        <w:t xml:space="preserve">оприятий, направленных на создание системы зарубежных представительств региона в наиболее перспективных для экспорта странах, а также "цифровых представительств" томских экспортно ориентированных кластеров в рамках ключевых международных торговых платформ.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Расширение участия Томской области в координации и поддержке экспорта на уровне СФО, в т.ч. с целью совместной организации специализированных отраслевых деловых миссий, выставок; обмена лучшими практи</w:t>
      </w:r>
      <w:r>
        <w:rPr>
          <w:rFonts w:ascii="Arial" w:hAnsi="Arial" w:cs="Arial" w:eastAsia="Arial"/>
          <w:sz w:val="20"/>
          <w:szCs w:val="20"/>
          <w:lang w:val="ru-RU" w:bidi="ru-RU"/>
        </w:rPr>
        <w:t xml:space="preserve">ками в сфере поддержки экспорта; интенсивного взаимодействия по вопросам транспорта и логистики; совместного продвижения потребительских товаров сибирских регионов под брендом "Made in Siberia"; создания и совместного развития продуктов в сфере услуг &lt;22&gt;.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&lt;22&gt; Образовательные, медицинские, туристские и др.</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 Продвижение экспортных приоритетов на федеральном уровне, снятие административных барьеров и ограничений по росту экспорта &lt;23&gt;.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&lt;23&gt; Восстановление права Томской ТПП на выдачу сертификатов страны происхождения товаров формы СТ-1 (в целях подтверждения соответствия </w:t>
      </w:r>
      <w:hyperlink r:id="rId56" w:tooltip="consultantplus://offline/ref=9ACAA89C6FF58C33776267CAD813686974829CFF23EBB854C524F083A7349DB9E6BF8B5B80C62113E2BA0D6973903742AEDF25DA257EB02352s0I" w:history="1">
        <w:r>
          <w:rPr>
            <w:rFonts w:ascii="Arial" w:hAnsi="Arial" w:cs="Arial" w:eastAsia="Arial"/>
            <w:color w:val="0000FF"/>
            <w:sz w:val="20"/>
            <w:szCs w:val="20"/>
            <w:lang w:val="ru-RU" w:bidi="ru-RU"/>
          </w:rPr>
          <w:t xml:space="preserve">требованиям</w:t>
        </w:r>
      </w:hyperlink>
      <w:r>
        <w:rPr>
          <w:rFonts w:ascii="Arial" w:hAnsi="Arial" w:cs="Arial" w:eastAsia="Arial"/>
          <w:sz w:val="20"/>
          <w:szCs w:val="20"/>
          <w:lang w:val="ru-RU" w:bidi="ru-RU"/>
        </w:rPr>
        <w:t xml:space="preserve"> Постановления Правительства Российской Федерации от 17.07.2015 N 719); подготовка в адрес профильных ФОИВ соответствующих запросов и предложений, включая предложения по упрощению процедур выдачи сертификатов.</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 Внедрение расширенных программ компенсации части затрат предприятий, связанных с экспортной деятельностью &lt;24&gt;.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&lt;24&gt; Транспортировка, сертификация и продвижение товаров на электронных торговых площадках.</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 Развитие удобной платформы сервисов для региональных экспортеров с предоставлением услу</w:t>
      </w:r>
      <w:r>
        <w:rPr>
          <w:rFonts w:ascii="Arial" w:hAnsi="Arial" w:cs="Arial" w:eastAsia="Arial"/>
          <w:sz w:val="20"/>
          <w:szCs w:val="20"/>
          <w:lang w:val="ru-RU" w:bidi="ru-RU"/>
        </w:rPr>
        <w:t xml:space="preserve">г в режиме "одного окна", в т.ч. за счет использования ресурсов существующих цифровых платформ (Цифровая платформа Томской области tomsk.life, региональной части федеральной Системы межведомственного электронного взаимодействия "Одно окно" для экспортера).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комплекса мероприятий и механизмов в рамках внедрения Регионального экспортного стандарта 2.0 (систематизация работы по развитию экспорта, в том числе разработка региональной программы развития экспорта Томской области, разви</w:t>
      </w:r>
      <w:r>
        <w:rPr>
          <w:rFonts w:ascii="Arial" w:hAnsi="Arial" w:cs="Arial" w:eastAsia="Arial"/>
          <w:sz w:val="20"/>
          <w:szCs w:val="20"/>
          <w:lang w:val="ru-RU" w:bidi="ru-RU"/>
        </w:rPr>
        <w:t xml:space="preserve">тие Центра поддержки экспорта Томской области; кадровое обеспечение; расширение деловых связей субъектов предпринимательства, информационная поддержка; систематизация сбора и публикации информации об экспортной деятельности региона; популяризация экспортно</w:t>
      </w:r>
      <w:r>
        <w:rPr>
          <w:rFonts w:ascii="Arial" w:hAnsi="Arial" w:cs="Arial" w:eastAsia="Arial"/>
          <w:sz w:val="20"/>
          <w:szCs w:val="20"/>
          <w:lang w:val="ru-RU" w:bidi="ru-RU"/>
        </w:rPr>
        <w:t xml:space="preserve">й деятельности и информирование предпринимателей региона о действующих мерах поддержки; реализация акселерационных программ для региональных компаний, направленных на рост экспорта; реализация программ продвижения продукции региональных компаний за рубеж).</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транспортной доступности региона за счет ремонта и реконструкции отдельных участков автомобильных дорог регионального и федерального значения на территории региона, а также развития аэропортового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Увеличение объемов несырьевого экспорта будет пр</w:t>
      </w:r>
      <w:r>
        <w:rPr>
          <w:rFonts w:ascii="Arial" w:hAnsi="Arial" w:cs="Arial" w:eastAsia="Arial"/>
          <w:sz w:val="20"/>
          <w:szCs w:val="20"/>
          <w:lang w:val="ru-RU" w:bidi="ru-RU"/>
        </w:rPr>
        <w:t xml:space="preserve">оисходить преимущественно за счет создания новой товарной массы в рамках реализации экспортно ориентированных инвестиционных проектов. В сфере АПК и пищевой промышленности планируется реализация проектов по молочному и мясному животноводству, органическому</w:t>
      </w:r>
      <w:r>
        <w:rPr>
          <w:rFonts w:ascii="Arial" w:hAnsi="Arial" w:cs="Arial" w:eastAsia="Arial"/>
          <w:sz w:val="20"/>
          <w:szCs w:val="20"/>
          <w:lang w:val="ru-RU" w:bidi="ru-RU"/>
        </w:rPr>
        <w:t xml:space="preserve"> земледелию, переработке масленичных культур, рыбоводству и товарной аквакультуре, модернизации производственных линий для увеличения ассортимента и объемов выпуска продукции глубокой переработки молока и мяса, кедрового ореха, ягод, гриба, выпуска продукц</w:t>
      </w:r>
      <w:r>
        <w:rPr>
          <w:rFonts w:ascii="Arial" w:hAnsi="Arial" w:cs="Arial" w:eastAsia="Arial"/>
          <w:sz w:val="20"/>
          <w:szCs w:val="20"/>
          <w:lang w:val="ru-RU" w:bidi="ru-RU"/>
        </w:rPr>
        <w:t xml:space="preserve">ии функционального питания. В сфере деревообработки планируется реализация проектов по увеличению объем выпуска и ассортимента плитной продукции, шпона, строительных материалов, полуфабрикатов и готовой продукции мебельного производства. В сфере машиностро</w:t>
      </w:r>
      <w:r>
        <w:rPr>
          <w:rFonts w:ascii="Arial" w:hAnsi="Arial" w:cs="Arial" w:eastAsia="Arial"/>
          <w:sz w:val="20"/>
          <w:szCs w:val="20"/>
          <w:lang w:val="ru-RU" w:bidi="ru-RU"/>
        </w:rPr>
        <w:t xml:space="preserve">ения и микроэлектроники будут реализованы проекты по увеличению выпуска электрооборудования и электронных изделий, в том числе кабельно-проводниковой продукции, систем связи, технологического оборудования для предприятий топливно-энергетического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 результатам реализации мероприятий по развитию экспорта и международной кооперации Томская область получит диверсифицированную структуру высокотехнологичного экспорта, уровень производственной инфраструктуры будет соответствовать передовым станда</w:t>
      </w:r>
      <w:r>
        <w:rPr>
          <w:rFonts w:ascii="Arial" w:hAnsi="Arial" w:cs="Arial" w:eastAsia="Arial"/>
          <w:sz w:val="20"/>
          <w:szCs w:val="20"/>
          <w:lang w:val="ru-RU" w:bidi="ru-RU"/>
        </w:rPr>
        <w:t xml:space="preserve">ртам, повысится открытость и привлекательность региона как места для жизни и ведения бизнеса, что, в свою очередь, способствует росту мониторинговых показателей по объему экспорта с 310,2 млн долл. США в 2020 г. до 504,4 млн долл. США к 2030 г., количеству</w:t>
      </w:r>
      <w:r>
        <w:rPr>
          <w:rFonts w:ascii="Arial" w:hAnsi="Arial" w:cs="Arial" w:eastAsia="Arial"/>
          <w:sz w:val="20"/>
          <w:szCs w:val="20"/>
          <w:lang w:val="ru-RU" w:bidi="ru-RU"/>
        </w:rPr>
        <w:t xml:space="preserve"> компаний МСП-экспортеров несырьевого неэнергетического экспорта с 422 ед. в 2020 г. до 610 ед. к 2030 г., объему несырьевого экспорта субъектов МСП со 180,7 млн долл. США в 2020 г. до 281 млн долл. США к 2030 г., а также росту целевого показателя по объем</w:t>
      </w:r>
      <w:r>
        <w:rPr>
          <w:rFonts w:ascii="Arial" w:hAnsi="Arial" w:cs="Arial" w:eastAsia="Arial"/>
          <w:sz w:val="20"/>
          <w:szCs w:val="20"/>
          <w:lang w:val="ru-RU" w:bidi="ru-RU"/>
        </w:rPr>
        <w:t xml:space="preserve">у несырьевого неэнергетического экспорта из Томской области с 0,27 млрд долл. США в 2020 г. до 0,46 млрд долл. США к 2030 г., при этом доля экспорта субъектов МСП в общем объеме несырьевого экспорта незначительно сократится с 68% в 2020 г. до 61% в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Цель 2. Рациональное использование природного капитала</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Томской области, устойчивое развитие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агропромышленного комплекса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 выработке направлений рационального использования природного капитала Томской области и устойчивого развития агропромышленного комплекса </w:t>
      </w:r>
      <w:r>
        <w:rPr>
          <w:rFonts w:ascii="Arial" w:hAnsi="Arial" w:cs="Arial" w:eastAsia="Arial"/>
          <w:sz w:val="20"/>
          <w:szCs w:val="20"/>
          <w:lang w:val="ru-RU" w:bidi="ru-RU"/>
        </w:rPr>
        <w:t xml:space="preserve">требуется учитывать новые риски и возможности, формирующиеся в результате изменения климата, что является одной из важнейших международных проблем. Таким образом, в первую очередь регион должен решить ряд задач, связанных с адаптацией к изменениям климата: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Укрепление и развитие информационной и научной основы политики в области климата.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Разработка и реализация оперативных и долгосрочных мер по адаптации к изменениям климата.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Разработка и реализация оперативных и долгосрочных мер по смягчению антропогенного воздействия на климат.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Участие в инициативах международного сообщества в решении вопросов, связанных с изменениями климата и смежными проблемами.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Достижение цели по рациональному использованию природного капитала Томской области и устойчивому развитию агропромышленного комплекса обеспечит: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Повышение качества окружающей среды и создание экологического благополучия региона за счет мероприятий по следующим стратегическим приоритетным направлениям: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Переход на новую систему комплексного обращения с отходами замкнутого цикла, в т.ч. привлечение инвестиций для развития соответствующей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Эффективное управление особо охраняемыми природными территориями, в т.ч. создание инфраструктуры экотуризма.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промышленных предприятий в части реализации "зеленых программ" по уменьшению углеродного следа.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экологической культуры населения, реализация просветительских и образовательных программ.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и масштабирование деятельности экологических региональных сообществ.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Повышение конкурентоспособности агропромышленного сектора за счет фокусировки усилий в следующих направлениях: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Технологическая модернизация сектора, в т.ч. за счет цифровой трансформации, трансфера передовых агробиотехнологий.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инфраструктуры (агробиотехнопарка) для поддержки инновационного бизнеса.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отраслевых центров компетенций, в т.ч. в рамках федеральных инструментов поддержки.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благоприятных условий для увеличения мощностей действующих предприятий.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цифровой платформы с сервисами для экспортных предприятий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глубины переработки сельскохозяйственной продукции.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кооперации малого и среднего бизнеса в секторе.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среднего и высшего образования для кадрового обеспечения индустрии.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качества жизни в сельской местности с целью привлечения и удержания кадров.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Вовлечение неиспользуемых земель в сельскохозяйственных оборот.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результате выполнения цели объем загрязнений на единицу ВРП снизится с 418,8 тонн/млрд руб. в 2020 г. до 376,8 тонн/млрд руб. в 2030 г. Поддержание устойчивых темпов роста производства пр</w:t>
      </w:r>
      <w:r>
        <w:rPr>
          <w:rFonts w:ascii="Arial" w:hAnsi="Arial" w:cs="Arial" w:eastAsia="Arial"/>
          <w:sz w:val="20"/>
          <w:szCs w:val="20"/>
          <w:lang w:val="ru-RU" w:bidi="ru-RU"/>
        </w:rPr>
        <w:t xml:space="preserve">одукции сельского хозяйства позволит к 2030 г. увеличить данный показатель на 13,66% по отношению к уровню 2020 года и обеспечить прирост индекса производства по виду экономической деятельности "производство пищевых продуктов", на 28,9% к уровню 2020 года.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2.1. Обеспечить рациональное использование природных</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ресурсов, в том числе возобновляемых ресурсов, и повысить</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качество окружающей среды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региональной п</w:t>
      </w:r>
      <w:r>
        <w:rPr>
          <w:rFonts w:ascii="Arial" w:hAnsi="Arial" w:cs="Arial" w:eastAsia="Arial"/>
          <w:sz w:val="20"/>
          <w:szCs w:val="20"/>
          <w:lang w:val="ru-RU" w:bidi="ru-RU"/>
        </w:rPr>
        <w:t xml:space="preserve">олитики по рациональному использованию природных ресурсов - обеспечение лидирующих позиций региона в области сохранения и восстановления природы, развития экологических движений и волонтерства среди молодежных сообществ; участие в федеральных инициативах в</w:t>
      </w:r>
      <w:r>
        <w:rPr>
          <w:rFonts w:ascii="Arial" w:hAnsi="Arial" w:cs="Arial" w:eastAsia="Arial"/>
          <w:sz w:val="20"/>
          <w:szCs w:val="20"/>
          <w:lang w:val="ru-RU" w:bidi="ru-RU"/>
        </w:rPr>
        <w:t xml:space="preserve"> сфере охраны природы и обеспечения рационального использования природных ресурсов; реализация пилотных передовых проектов в сфере комплексного обращения с твердыми коммунальными отходами по принципу экономики замкнутого цикла в рамках федеральной реформы.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Основной целью экологической политики Томской области до </w:t>
      </w:r>
      <w:r>
        <w:rPr>
          <w:rFonts w:ascii="Arial" w:hAnsi="Arial" w:cs="Arial" w:eastAsia="Arial"/>
          <w:sz w:val="20"/>
          <w:szCs w:val="20"/>
          <w:lang w:val="ru-RU" w:bidi="ru-RU"/>
        </w:rPr>
        <w:t xml:space="preserve">2030 года остается повышение качества окружающей среды за счет формирования зеленой, устойчивой территории, сохранения биоразнообразия и уникальных природных объектов региона и формирования отлаженной системы переработки отходов. Томская область должна ста</w:t>
      </w:r>
      <w:r>
        <w:rPr>
          <w:rFonts w:ascii="Arial" w:hAnsi="Arial" w:cs="Arial" w:eastAsia="Arial"/>
          <w:sz w:val="20"/>
          <w:szCs w:val="20"/>
          <w:lang w:val="ru-RU" w:bidi="ru-RU"/>
        </w:rPr>
        <w:t xml:space="preserve">ть лидирующим регионом России в части обеспечения реализации федеральных целей устойчивого развития, стать лидирующим участником глобальной климатической программы. На текущий момент значимыми проблемами состояния окружающей среды Томской области остаются: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Повышенная антропогенная нагр</w:t>
      </w:r>
      <w:r>
        <w:rPr>
          <w:rFonts w:ascii="Arial" w:hAnsi="Arial" w:cs="Arial" w:eastAsia="Arial"/>
          <w:sz w:val="20"/>
          <w:szCs w:val="20"/>
          <w:lang w:val="ru-RU" w:bidi="ru-RU"/>
        </w:rPr>
        <w:t xml:space="preserve">узка на атмосферный воздух в Томском промышленном ареале, в котором сосредоточено около половины всех предприятий области, включая Сибирский химический комбинат (СХК), и в районах нефтедобычи в пределах Васюганского болота. 64,5% в структуре валового объем</w:t>
      </w:r>
      <w:r>
        <w:rPr>
          <w:rFonts w:ascii="Arial" w:hAnsi="Arial" w:cs="Arial" w:eastAsia="Arial"/>
          <w:sz w:val="20"/>
          <w:szCs w:val="20"/>
          <w:lang w:val="ru-RU" w:bidi="ru-RU"/>
        </w:rPr>
        <w:t xml:space="preserve">а выбросов загрязняющих веществ в атмосферный воздух Томской области занимают выбросы от деятельности стационарных источников. В 2019 г. на долю стационарных объектов пришлось 225,1 тыс. тонн, что выше среднерегионального значения в России - 209 тыс. тонн.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Рост объемов сброшенных загря</w:t>
      </w:r>
      <w:r>
        <w:rPr>
          <w:rFonts w:ascii="Arial" w:hAnsi="Arial" w:cs="Arial" w:eastAsia="Arial"/>
          <w:sz w:val="20"/>
          <w:szCs w:val="20"/>
          <w:lang w:val="ru-RU" w:bidi="ru-RU"/>
        </w:rPr>
        <w:t xml:space="preserve">зненных сточных вод: объем сточных вод, требующих очистки, в 2019 г. увеличился на 142,4 млн куб. м и составил 215,01 млн куб. м, при этом объем сброшенных загрязненных сточных вод (без очистки) увеличился на 154,23 млн куб. м и составил 161,72 млн куб. 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Снижение плодородия почв на территории ряда муниципальных образований (по результатам лабораторных исследований почвы в 2019 г. отмечалась неблагополучная обстановка в Томском и Кожевниковском районах).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регионе проводится работа по переходу на новую систему обращения с отходами, предполагающая реализацию мероприятий по созданию мест накопления твердых коммунальных отходов (ТКО), проектированию и строительству полигонов (ТКО) и мусор</w:t>
      </w:r>
      <w:r>
        <w:rPr>
          <w:rFonts w:ascii="Arial" w:hAnsi="Arial" w:cs="Arial" w:eastAsia="Arial"/>
          <w:sz w:val="20"/>
          <w:szCs w:val="20"/>
          <w:lang w:val="ru-RU" w:bidi="ru-RU"/>
        </w:rPr>
        <w:t xml:space="preserve">осортировочных комплексов. В Томской области действует 8 региональных операторов, что позволяет существенно сократить количество свалок. Растет охват коммунальной услугой по обращению с ТКО (по численности населения) (за 2019 г. увеличился с 70% до 92,2%).</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реализации федеральной реформы сферы "Обращение с отходами" Томская область в 2020 г. опр</w:t>
      </w:r>
      <w:r>
        <w:rPr>
          <w:rFonts w:ascii="Arial" w:hAnsi="Arial" w:cs="Arial" w:eastAsia="Arial"/>
          <w:sz w:val="20"/>
          <w:szCs w:val="20"/>
          <w:lang w:val="ru-RU" w:bidi="ru-RU"/>
        </w:rPr>
        <w:t xml:space="preserve">еделена в качестве одного из пилотных регионов по созданию комплексной системы обращения с ТКО по принципу экономики замкнутого цикла, который предполагает максимальный отказ от полигонного захоронения. На территории региона планируется пересмотр территори</w:t>
      </w:r>
      <w:r>
        <w:rPr>
          <w:rFonts w:ascii="Arial" w:hAnsi="Arial" w:cs="Arial" w:eastAsia="Arial"/>
          <w:sz w:val="20"/>
          <w:szCs w:val="20"/>
          <w:lang w:val="ru-RU" w:bidi="ru-RU"/>
        </w:rPr>
        <w:t xml:space="preserve">альной схемы обращения с отходами, в соответствии с которой предполагается размещение современных объектов по утилизации и переработке отходов, которые будут полностью удовлетворять потребности области, учитывая малочисленные и удаленные населенные пункты.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Высокое значение придается вопросам эффективного управления особо охраняемыми природными территориями и созданию на их базе инфраструктуры для развития экотуризма, в частности формирования системы экотроп (по итогам 2019 г</w:t>
      </w:r>
      <w:r>
        <w:rPr>
          <w:rFonts w:ascii="Arial" w:hAnsi="Arial" w:cs="Arial" w:eastAsia="Arial"/>
          <w:sz w:val="20"/>
          <w:szCs w:val="20"/>
          <w:lang w:val="ru-RU" w:bidi="ru-RU"/>
        </w:rPr>
        <w:t xml:space="preserve">ода обустроено 40 экологических троп, 14 из них расположены на территории ООПТ). Для формирования бренда региона в сфере экотуризма и привлечения потенциальных инвесторов потребуется запуск масштабных публичных мероприятий (форумов, конференций, выставок).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Приоритетным является формирование экологической культуры нас</w:t>
      </w:r>
      <w:r>
        <w:rPr>
          <w:rFonts w:ascii="Arial" w:hAnsi="Arial" w:cs="Arial" w:eastAsia="Arial"/>
          <w:sz w:val="20"/>
          <w:szCs w:val="20"/>
          <w:lang w:val="ru-RU" w:bidi="ru-RU"/>
        </w:rPr>
        <w:t xml:space="preserve">еления в сфере обращения с отходами за счет дальнейшей реализации созданной в регионе системы непрерывного экологического образования и просвещения с расширением охвата жителей, вовлеченных в образовательные программы и экологические мероприятия и события.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Дополнительно в рамках расширения региональной экологической повестки планируется реализовать мероприятия по следующим приоритетным направлениям: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реализации "зеленых программ" для экспортно ориентированной промышленности в условиях актуализа</w:t>
      </w:r>
      <w:r>
        <w:rPr>
          <w:rFonts w:ascii="Arial" w:hAnsi="Arial" w:cs="Arial" w:eastAsia="Arial"/>
          <w:sz w:val="20"/>
          <w:szCs w:val="20"/>
          <w:lang w:val="ru-RU" w:bidi="ru-RU"/>
        </w:rPr>
        <w:t xml:space="preserve">ции вопросов углеродного следа выпускаемой продукции; поддержка корпоративных мероприятий и модернизации производственных систем по уменьшению углеродного следа. Поддержка технологических компаний по разработке и внедрению новых технологий улавливания СО2.</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реализации программ по компенса</w:t>
      </w:r>
      <w:r>
        <w:rPr>
          <w:rFonts w:ascii="Arial" w:hAnsi="Arial" w:cs="Arial" w:eastAsia="Arial"/>
          <w:sz w:val="20"/>
          <w:szCs w:val="20"/>
          <w:lang w:val="ru-RU" w:bidi="ru-RU"/>
        </w:rPr>
        <w:t xml:space="preserve">ции производимых загрязнений, "зеленых программ" для экспортно ориентированной промышленности. Привлечение в регион компаний из других производственных индустрий в сферу лесопроизводства, лесного менеджмента. Поддержка перевода заброшенных сельскохозяйстве</w:t>
      </w:r>
      <w:r>
        <w:rPr>
          <w:rFonts w:ascii="Arial" w:hAnsi="Arial" w:cs="Arial" w:eastAsia="Arial"/>
          <w:sz w:val="20"/>
          <w:szCs w:val="20"/>
          <w:lang w:val="ru-RU" w:bidi="ru-RU"/>
        </w:rPr>
        <w:t xml:space="preserve">нных земель под коммерческие леса, в том числе для использования компаниями с весомым углеродным следом (для металлургической отрасли становится интересно снижение углеродного следа, и это открывает много возможностей для их инвестиций в коммерческий лес).</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эффективной охраны, защиты, воспроизводства лесов, а также рационального многоцелевого и неистощительного использования лесов при сохранении их экологических функций и биологического разнообразия.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Улучшение экологического состояния гидрографической сети.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стратегической перспективе результатом выполнения задачи станет достижение регионом экологического благополучия, создание условий для осуществления восстановительных мероприятий и обеспечения рационального природопользования.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Индикаторами выполнения задачи станут увеличение доли твердых коммунальных отходов, направленных на обработку (сортировку), в общей массе образованных твердых коммунальных отходов, с 7,3% в 2</w:t>
      </w:r>
      <w:r>
        <w:rPr>
          <w:rFonts w:ascii="Arial" w:hAnsi="Arial" w:cs="Arial" w:eastAsia="Arial"/>
          <w:sz w:val="20"/>
          <w:szCs w:val="20"/>
          <w:lang w:val="ru-RU" w:bidi="ru-RU"/>
        </w:rPr>
        <w:t xml:space="preserve">020 г. до 100% к 2030 г. и повышение значения отношения площади лесовосстановления и лесоразведения к площади вырубленных и погибших лесных насаждений с 66,8% в 2020 г. до 100% к 2024 г. с удержанием этого значения в последующих годах реализации Стратегии.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2.2. Обеспечить переход к новым параметрам</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конкурентоспособности агропромышленного комплекса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регио</w:t>
      </w:r>
      <w:r>
        <w:rPr>
          <w:rFonts w:ascii="Arial" w:hAnsi="Arial" w:cs="Arial" w:eastAsia="Arial"/>
          <w:sz w:val="20"/>
          <w:szCs w:val="20"/>
          <w:lang w:val="ru-RU" w:bidi="ru-RU"/>
        </w:rPr>
        <w:t xml:space="preserve">нальной политики развития агропромышленного комплекса - повышение доходности компаний сектора и обеспечение устойчивости фермерских хозяйств. Приоритетными направлениями развития являются: технологическая модернизация и увеличение мощностей действующих про</w:t>
      </w:r>
      <w:r>
        <w:rPr>
          <w:rFonts w:ascii="Arial" w:hAnsi="Arial" w:cs="Arial" w:eastAsia="Arial"/>
          <w:sz w:val="20"/>
          <w:szCs w:val="20"/>
          <w:lang w:val="ru-RU" w:bidi="ru-RU"/>
        </w:rPr>
        <w:t xml:space="preserve">изводств, создание и внедрение генетических и селекционных технологий и повышение глубины переработки сельскохозяйственных культур и возобновляемых ресурсов леса, выстраивание кооперационных цепочек в целях формирования новых продуктовых линеек и обеспечен</w:t>
      </w:r>
      <w:r>
        <w:rPr>
          <w:rFonts w:ascii="Arial" w:hAnsi="Arial" w:cs="Arial" w:eastAsia="Arial"/>
          <w:sz w:val="20"/>
          <w:szCs w:val="20"/>
          <w:lang w:val="ru-RU" w:bidi="ru-RU"/>
        </w:rPr>
        <w:t xml:space="preserve">ия выхода на новые рынки. Повышению конкурентоспособности агропромышленного комплекса будет также способствовать достижение устойчивости социально-экономического развития сельских территорий, в т.ч. повышение качества жизни и обеспечение занятости жителей.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Агропромышленный сектор Томской области за последние пять лет </w:t>
      </w:r>
      <w:r>
        <w:rPr>
          <w:rFonts w:ascii="Arial" w:hAnsi="Arial" w:cs="Arial" w:eastAsia="Arial"/>
          <w:sz w:val="20"/>
          <w:szCs w:val="20"/>
          <w:lang w:val="ru-RU" w:bidi="ru-RU"/>
        </w:rPr>
        <w:t xml:space="preserve">испытывает существенную трансформацию, наблюдается увеличение инвестиций в сектор (в 2019 г. - 2,68 млрд рублей), происходит масштабная технологическая модернизация, ежегодный рост заработной платы составляет более 10% и превышает среднероссийский уровень.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За период 2014 - 2020 гг. произошел существенный рост объемов производства в</w:t>
      </w:r>
      <w:r>
        <w:rPr>
          <w:rFonts w:ascii="Arial" w:hAnsi="Arial" w:cs="Arial" w:eastAsia="Arial"/>
          <w:sz w:val="20"/>
          <w:szCs w:val="20"/>
          <w:lang w:val="ru-RU" w:bidi="ru-RU"/>
        </w:rPr>
        <w:t xml:space="preserve"> сфере сельского хозяйства, регион вышел в лидеры по производительности труда - Томская область занимает 3-е место в России по данному показателю. Увеличение объемов производства сельскохозяйственной продукции связано с оказанием государственной поддержки </w:t>
      </w:r>
      <w:r>
        <w:rPr>
          <w:rFonts w:ascii="Arial" w:hAnsi="Arial" w:cs="Arial" w:eastAsia="Arial"/>
          <w:sz w:val="20"/>
          <w:szCs w:val="20"/>
          <w:lang w:val="ru-RU" w:bidi="ru-RU"/>
        </w:rPr>
        <w:t xml:space="preserve">сельхозтоваропроизводителям. Оказывается государственная поддержка вновь созданным субъектам МСП в сельском хозяйстве - гранты "Агростартап" на создание производств по направлениям: ягодоводство, козоводство, мясное и молочное животноводство, птицеводство.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За счет государственной поддержки был реализован и запущен ряд крупных инвестиционных проектов: роботизированная ферма ООО "Сибирское молоко", животноводческий комплекс с установкой для переработки</w:t>
      </w:r>
      <w:r>
        <w:rPr>
          <w:rFonts w:ascii="Arial" w:hAnsi="Arial" w:cs="Arial" w:eastAsia="Arial"/>
          <w:sz w:val="20"/>
          <w:szCs w:val="20"/>
          <w:lang w:val="ru-RU" w:bidi="ru-RU"/>
        </w:rPr>
        <w:t xml:space="preserve"> отходов в кормовые добавки для коров АО "Дубровское", завод по переработке рапса ООО "Сибирская олива", высокотехнологичная молочная ферма КФХ Михайлиной Лины Ивановны, проект по внедрению систем беспилотного вождения сельскохозяйственной техники Cognitiv</w:t>
      </w:r>
      <w:r>
        <w:rPr>
          <w:rFonts w:ascii="Arial" w:hAnsi="Arial" w:cs="Arial" w:eastAsia="Arial"/>
          <w:sz w:val="20"/>
          <w:szCs w:val="20"/>
          <w:lang w:val="ru-RU" w:bidi="ru-RU"/>
        </w:rPr>
        <w:t xml:space="preserve">e Technologies, учебный центр молочного животноводства, открытие сырно-творожной линии ООО "Деревенское молочко", логистический центр ООО "Межениновская птицефабрика", коровник на 240 голов беспривязного содержания СПК (колхоз) "Нелюбино", животноводческий</w:t>
      </w:r>
      <w:r>
        <w:rPr>
          <w:rFonts w:ascii="Arial" w:hAnsi="Arial" w:cs="Arial" w:eastAsia="Arial"/>
          <w:sz w:val="20"/>
          <w:szCs w:val="20"/>
          <w:lang w:val="ru-RU" w:bidi="ru-RU"/>
        </w:rPr>
        <w:t xml:space="preserve"> комплекс мясного направления ООО "Мраморная ферма", реконструкция свиноводческого комплекса "Томский" АО "Сибирская Аграрная Группа", цех по глубокой переработке мраморного мяса СПОК "Держава", заложен крупнейший в стране сад жимолости ООО "Северный сад".</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сфере рыбопереработки и товар</w:t>
      </w:r>
      <w:r>
        <w:rPr>
          <w:rFonts w:ascii="Arial" w:hAnsi="Arial" w:cs="Arial" w:eastAsia="Arial"/>
          <w:sz w:val="20"/>
          <w:szCs w:val="20"/>
          <w:lang w:val="ru-RU" w:bidi="ru-RU"/>
        </w:rPr>
        <w:t xml:space="preserve">ной аквакультуры: построены две садковые линии по выращиванию товарной форели; рыбоконсервный и рыбоперерабатывающий заводы "Александровские консервы" и "Рыбная тема"; рыбоводная линия с системой замкнутого водоснабжения по воспроизводству ценных видов рыб</w:t>
      </w:r>
      <w:r>
        <w:rPr>
          <w:rFonts w:ascii="Arial" w:hAnsi="Arial" w:cs="Arial" w:eastAsia="Arial"/>
          <w:sz w:val="20"/>
          <w:szCs w:val="20"/>
          <w:lang w:val="ru-RU" w:bidi="ru-RU"/>
        </w:rPr>
        <w:t xml:space="preserve">; модернизированный комплекс по выращиванию рыбы осетровых и сиговых пород. С 2020 года реализуются новые инвестиционные проекты с общим объемом инвестиций более 5 млрд рублей (ООО "КХ "Куендат", АО "Сибагро", ООО "Трубачево", ООО "АПК Первомайский - ЛК").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Несмотря на то, что кризис, вызванный распространением коронавирусной инфекции, слабо отразился на потреблении продуктов питания в Томской области, региональный </w:t>
      </w:r>
      <w:r>
        <w:rPr>
          <w:rFonts w:ascii="Arial" w:hAnsi="Arial" w:cs="Arial" w:eastAsia="Arial"/>
          <w:sz w:val="20"/>
          <w:szCs w:val="20"/>
          <w:lang w:val="ru-RU" w:bidi="ru-RU"/>
        </w:rPr>
        <w:t xml:space="preserve">бизнес (за исключением сельскохозяйственной отрасли) испытал существенное сжатие инвестиционных возможностей, а ряд запланированных мероприятий по технологическому обновлению и развитию товарных линеек был отложен по причине отсутствия оборотных средств. С</w:t>
      </w:r>
      <w:r>
        <w:rPr>
          <w:rFonts w:ascii="Arial" w:hAnsi="Arial" w:cs="Arial" w:eastAsia="Arial"/>
          <w:sz w:val="20"/>
          <w:szCs w:val="20"/>
          <w:lang w:val="ru-RU" w:bidi="ru-RU"/>
        </w:rPr>
        <w:t xml:space="preserve">егодня локальные производители не имеют достаточных средств для инвестиций в развитие бизнеса. При этом на глобальном уровне мировой кризис и пандемия только усилили тенденции технологической (цифровой) трансформации мировых продовольственных рынков, а на </w:t>
      </w:r>
      <w:r>
        <w:rPr>
          <w:rFonts w:ascii="Arial" w:hAnsi="Arial" w:cs="Arial" w:eastAsia="Arial"/>
          <w:sz w:val="20"/>
          <w:szCs w:val="20"/>
          <w:lang w:val="ru-RU" w:bidi="ru-RU"/>
        </w:rPr>
        <w:t xml:space="preserve">уровне страны привели к ускорению реструктуризации цепочек. На уровне потребителя тоже происходят фундаментальные изменения форматов, которые требуют от АПК перейти к новой бизнес-модели, предложить рынку инновационные продукты и новые способы потребления.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связи с изменением климата возникают риски, связанные с у</w:t>
      </w:r>
      <w:r>
        <w:rPr>
          <w:rFonts w:ascii="Arial" w:hAnsi="Arial" w:cs="Arial" w:eastAsia="Arial"/>
          <w:sz w:val="20"/>
          <w:szCs w:val="20"/>
          <w:lang w:val="ru-RU" w:bidi="ru-RU"/>
        </w:rPr>
        <w:t xml:space="preserve">величением частоты и интенсивности опасных природных явлений, повышение засушливости климата приводит к снижению урожайности основных сельскохозяйственных культур и увеличению рисков возникновения вспышек массового размножения и распространения саранчовых.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Реагируя на описанные тенденции, требуется запустить комплексную смен</w:t>
      </w:r>
      <w:r>
        <w:rPr>
          <w:rFonts w:ascii="Arial" w:hAnsi="Arial" w:cs="Arial" w:eastAsia="Arial"/>
          <w:sz w:val="20"/>
          <w:szCs w:val="20"/>
          <w:lang w:val="ru-RU" w:bidi="ru-RU"/>
        </w:rPr>
        <w:t xml:space="preserve">у формата работы региональных продовольственных рынков. Такая реформа - залог сохранения как краткосрочной устойчивости (повышения выживаемости предприятий, находящихся под риском банкротства), так и долгосрочной конкурентоспособности томского агробизнеса.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 целью увеличения мощностей предприятий сектора, расширения производственной специализации и повышения конкурентоспособности продукции необходим комплекс мероприятий межведомственного характера, обеспечивающий: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региональной системы адаптивной селекции, семеноводства и питомниководства для северного земледелия и агрессивных сред, в том числе за счет развития селекционно-семеноводческих центров по картофелю, льну, жимолости;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новых эффективных форматов взаимодействия науки и бизнеса в отрасли и формирование "банка возможных решений" для последующего тиражирования;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организацию межотраслевой кооперации для проектов по созданию функциональных пищевых продуктов;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организацию сетевой структуры оценки качества производства, переработки и экспорта продукции АПК;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цифровой агрометеоплатформы с целью многофункционального использования, в том числе в области мониторинга и предупреждения чрезвычайных ситуаций, в лесной отрасли, сельском хозяйстве, метеорологии;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цифровизацию государственных услуг в сфере АПК и процесса управления отраслью.</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 целью обеспечения долгосрочного устойчивого развития сектора АПК потребуется реализация следующих мероприятий: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Обеспечение устойчивой деятельности в сфере растениеводства в условиях северного и рискового земледелия. В т.ч., учитывая задачи Долгосрочной </w:t>
      </w:r>
      <w:hyperlink r:id="rId57" w:tooltip="consultantplus://offline/ref=9ACAA89C6FF58C33776267CAD8136869748B98FF23EFB854C524F083A7349DB9E6BF8B5B80C72115EABA0D6973903742AEDF25DA257EB02352s0I" w:history="1">
        <w:r>
          <w:rPr>
            <w:rFonts w:ascii="Arial" w:hAnsi="Arial" w:cs="Arial" w:eastAsia="Arial"/>
            <w:color w:val="0000FF"/>
            <w:sz w:val="20"/>
            <w:szCs w:val="20"/>
            <w:lang w:val="ru-RU" w:bidi="ru-RU"/>
          </w:rPr>
          <w:t xml:space="preserve">стратегии</w:t>
        </w:r>
      </w:hyperlink>
      <w:r>
        <w:rPr>
          <w:rFonts w:ascii="Arial" w:hAnsi="Arial" w:cs="Arial" w:eastAsia="Arial"/>
          <w:sz w:val="20"/>
          <w:szCs w:val="20"/>
          <w:lang w:val="ru-RU" w:bidi="ru-RU"/>
        </w:rPr>
        <w:t xml:space="preserve"> развития зернового комплекса Российской Федерации до 2035 года &lt;25&gt;, для обеспечения производства зерна в объемах, достаточных для удовлетворения внутреннего потребления, потребуется оптими</w:t>
      </w:r>
      <w:r>
        <w:rPr>
          <w:rFonts w:ascii="Arial" w:hAnsi="Arial" w:cs="Arial" w:eastAsia="Arial"/>
          <w:sz w:val="20"/>
          <w:szCs w:val="20"/>
          <w:lang w:val="ru-RU" w:bidi="ru-RU"/>
        </w:rPr>
        <w:t xml:space="preserve">зация посевных площадей и введение в оборот неиспользуемых земель (преимущественно со сроком неиспользования до 5 лет). Дополнительным направлением развития растениеводства может стать производство зернопродукции в рамках органического сельского хозяйства.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&lt;25&gt; Утверждена </w:t>
      </w:r>
      <w:hyperlink r:id="rId58" w:tooltip="consultantplus://offline/ref=9ACAA89C6FF58C33776267CAD8136869748B98FF23EFB854C524F083A7349DB9F4BFD35783C73F15E4AF5B38355Cs4I" w:history="1">
        <w:r>
          <w:rPr>
            <w:rFonts w:ascii="Arial" w:hAnsi="Arial" w:cs="Arial" w:eastAsia="Arial"/>
            <w:color w:val="0000FF"/>
            <w:sz w:val="20"/>
            <w:szCs w:val="20"/>
            <w:lang w:val="ru-RU" w:bidi="ru-RU"/>
          </w:rPr>
          <w:t xml:space="preserve">Распоряжением</w:t>
        </w:r>
      </w:hyperlink>
      <w:r>
        <w:rPr>
          <w:rFonts w:ascii="Arial" w:hAnsi="Arial" w:cs="Arial" w:eastAsia="Arial"/>
          <w:sz w:val="20"/>
          <w:szCs w:val="20"/>
          <w:lang w:val="ru-RU" w:bidi="ru-RU"/>
        </w:rPr>
        <w:t xml:space="preserve"> Правительства Российской Федерации от 10 августа 2019 года N 1796-р.</w:t>
      </w:r>
      <w:r/>
    </w:p>
    <w:p>
      <w:pPr>
        <w:pStyle w:val="808"/>
        <w:ind w:left="0" w:right="0" w:firstLine="540"/>
        <w:jc w:val="both"/>
        <w:spacing w:lineRule="auto" w:line="240" w:after="0" w:before="260"/>
        <w:rPr>
          <w:rFonts w:ascii="Arial" w:hAnsi="Arial" w:cs="Arial" w:eastAsia="Arial"/>
          <w:sz w:val="20"/>
          <w:szCs w:val="20"/>
          <w:lang w:val="ru-RU" w:bidi="ru-RU"/>
        </w:rPr>
      </w:pPr>
      <w:r>
        <w:rPr>
          <w:rFonts w:ascii="Arial" w:hAnsi="Arial" w:cs="Arial" w:eastAsia="Arial"/>
          <w:sz w:val="20"/>
          <w:szCs w:val="20"/>
          <w:lang w:val="ru-RU" w:bidi="ru-RU"/>
        </w:rPr>
        <w:t xml:space="preserve">1. Снижение барьеров по вовлечению земель в сельскохозяйственный оборот Томской области за счет подготовки предложений в Правитель</w:t>
      </w:r>
      <w:r>
        <w:rPr>
          <w:rFonts w:ascii="Arial" w:hAnsi="Arial" w:cs="Arial" w:eastAsia="Arial"/>
          <w:sz w:val="20"/>
          <w:szCs w:val="20"/>
          <w:lang w:val="ru-RU" w:bidi="ru-RU"/>
        </w:rPr>
        <w:t xml:space="preserve">ство Российской Федерации по усовершенствованию отдельных нормативных актов, касающихся отнесения земельного участка к особо ценным продуктивным сельскохозяйственным угодьям, совершенствование правил выморочного имущества в отношении невостребованных земел</w:t>
      </w:r>
      <w:r>
        <w:rPr>
          <w:rFonts w:ascii="Arial" w:hAnsi="Arial" w:cs="Arial" w:eastAsia="Arial"/>
          <w:sz w:val="20"/>
          <w:szCs w:val="20"/>
          <w:lang w:val="ru-RU" w:bidi="ru-RU"/>
        </w:rPr>
        <w:t xml:space="preserve">ь, упрощения порядка передачи невостребованных земель в собственность муниципальных образований, установления процедуры списания бесхозяйных мелиоративных систем, установления возможности реализации проекта ГЧП на земельном участке частного партнера и т.д.</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Отработка модели роста предприятий пищевой </w:t>
      </w:r>
      <w:r>
        <w:rPr>
          <w:rFonts w:ascii="Arial" w:hAnsi="Arial" w:cs="Arial" w:eastAsia="Arial"/>
          <w:sz w:val="20"/>
          <w:szCs w:val="20"/>
          <w:lang w:val="ru-RU" w:bidi="ru-RU"/>
        </w:rPr>
        <w:t xml:space="preserve">промышленности на основе повышения глубины кооперации и применения практик социальной инженерии, а также работы с новым, ранее неучтенным фактором - пандемическими волнами, вызванными как болезнями животных, так и оказывающими влияние на здоровье человека.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Создание кластерных или холдинговых структур (в пищевой промышленности) в сфере новой специализации, формирование зонтичных брендов с целью стимулирования и поддержки кооперации предприятий сектора и их выхода на новые рынки.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4. Налаживание кооперации на уровне фермеров, поставщиков продуктов, переработчиков и локальных сетей по вопросам "постковидной" упаковки и логистики грузов (увелич</w:t>
      </w:r>
      <w:r>
        <w:rPr>
          <w:rFonts w:ascii="Arial" w:hAnsi="Arial" w:cs="Arial" w:eastAsia="Arial"/>
          <w:sz w:val="20"/>
          <w:szCs w:val="20"/>
          <w:lang w:val="ru-RU" w:bidi="ru-RU"/>
        </w:rPr>
        <w:t xml:space="preserve">ить складские запасы, перевести службу доставки на стандарт бесконтактной доставки, обеспечение безопасности, дезинфекции, повышенный контроль), создания эффективных платформ и совместных сервисов по доставке, работе с крупными сетями за пределами региона,</w:t>
      </w:r>
      <w:r>
        <w:rPr>
          <w:rFonts w:ascii="Arial" w:hAnsi="Arial" w:cs="Arial" w:eastAsia="Arial"/>
          <w:sz w:val="20"/>
          <w:szCs w:val="20"/>
          <w:lang w:val="ru-RU" w:bidi="ru-RU"/>
        </w:rPr>
        <w:t xml:space="preserve"> развитию кадровых проектов для обучения локальных компаний стандартам качества, подходам в маркетинге и продвижении, принципам технологического замещения (например, компонентов продукции, которые завозятся из других стран), трендам цифровой трансформации.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Усиление взаимодействия бизнеса, населения, муниципальных и региональных органов власти, от которого зависит возможность развивать производство, в том числе несельскохозяйственное.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6. Поддержка современных форматов торговли, в том числе обеспечивающих эпидемиологическую безопасность (магазины "шаговой доступности", интернет-торговля, локальные и фермерские рынки).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7. Поддержка реализации инновационной продукции в федеральных торговых сетях, в том числе помощь в ускорении логистики товаров с коротким сроком годности в торговые сети Сибири, за рубеж.</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8. Поддержка размещения филиалов предприятий АПК в регионах страны и за ру</w:t>
      </w:r>
      <w:r>
        <w:rPr>
          <w:rFonts w:ascii="Arial" w:hAnsi="Arial" w:cs="Arial" w:eastAsia="Arial"/>
          <w:sz w:val="20"/>
          <w:szCs w:val="20"/>
          <w:lang w:val="ru-RU" w:bidi="ru-RU"/>
        </w:rPr>
        <w:t xml:space="preserve">бежом (рынки АТР масштабны и быстро развиваются, на восточных рынках только начинают потреблять белковую продукцию, возможно расширение региональных филиалов на рынки в Кемеровской и Новосибирской областях) с целью расширения производства в непосредственно</w:t>
      </w:r>
      <w:r>
        <w:rPr>
          <w:rFonts w:ascii="Arial" w:hAnsi="Arial" w:cs="Arial" w:eastAsia="Arial"/>
          <w:sz w:val="20"/>
          <w:szCs w:val="20"/>
          <w:lang w:val="ru-RU" w:bidi="ru-RU"/>
        </w:rPr>
        <w:t xml:space="preserve">й близости к сырью и потребителям при условии сохранения центральных офисов, технологических филиалов и кадровых центров в Томской области. Поддержка экспортеров в части субсидий на перевозки, получение сертификатов на поставку продукции на внешних рынках.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9. Реализация мероприятий, направленных на охрану здоровья животных от заразных и массовых незаразных заболеваний.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10. Реализация мероприятий, направленных на обращение с биологическими отходами.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11. Развитие в интересах отрасли сферы высшего и среднего образования, системы повышения квалификации для решения проблемы нехватки квалифицированных кадров, в том числе через:</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общую координацию между образовательными учреждениями и дальнейшую реализацию инструмента сетевого плана обучающих мероприятий для сельхозпроизводителей;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реализацию специализированных кадровых программ, ориентированных на подготовку специалистов для замещения позиций, оказывающих наибольшее влияние на качество и эффективность производства продукции;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реализацию программ профессионального обучения безработных и содействия самозанятости, привлечения населения к организации собственного бизнеса в сельском хозяйстве;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программы подготовки и повышения квалификации служащих органов местного самоуправления и органов управления АПК;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финансовой поддержки предприятий, обеспечивающих места для практики и заработную плату стажеров на ее период, в рамках программы борьбы с бедностью.</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 целью усиления конкурентоспособности регионального агропромышленного сектора за счет технологической модернизации планируется реализация следующих стратегических инициатив: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применения прорывны</w:t>
      </w:r>
      <w:r>
        <w:rPr>
          <w:rFonts w:ascii="Arial" w:hAnsi="Arial" w:cs="Arial" w:eastAsia="Arial"/>
          <w:sz w:val="20"/>
          <w:szCs w:val="20"/>
          <w:lang w:val="ru-RU" w:bidi="ru-RU"/>
        </w:rPr>
        <w:t xml:space="preserve">х технологий в сельском хозяйстве, в том числе цифровых решений, на основе межведомственной координации планов, ресурсов, мероприятий государственных программ и региональных проектов для достижения системного результата - цифровой зрелости агропромышленног</w:t>
      </w:r>
      <w:r>
        <w:rPr>
          <w:rFonts w:ascii="Arial" w:hAnsi="Arial" w:cs="Arial" w:eastAsia="Arial"/>
          <w:sz w:val="20"/>
          <w:szCs w:val="20"/>
          <w:lang w:val="ru-RU" w:bidi="ru-RU"/>
        </w:rPr>
        <w:t xml:space="preserve">о комплекса и пищевой промышленности. Поддержка внедрения технологий агропромышленного Интернета вещей. Внедрение цифровой платформы прослеживаемости товаров, в т.ч. экопродукции. Цифровая трансформация производств, каналов дистрибуции и систем управления.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применения современны</w:t>
      </w:r>
      <w:r>
        <w:rPr>
          <w:rFonts w:ascii="Arial" w:hAnsi="Arial" w:cs="Arial" w:eastAsia="Arial"/>
          <w:sz w:val="20"/>
          <w:szCs w:val="20"/>
          <w:lang w:val="ru-RU" w:bidi="ru-RU"/>
        </w:rPr>
        <w:t xml:space="preserve">х биотехнологий и генетических технологий в АПК и пищевой промышленности для обеспечения местных производителей "технологическим преимуществом", возможности быстро и качественно выводить и тестировать инновационные продукты, в том числе в масштабах Сибири.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регионального центра "Агротех", который обеспечит переход бизнеса на новую технологическую базу.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программы инновационно-промышленного кластера возобновляемых природных ресурсов с учетом инициатив, поддерживающих расширение агробиотехнологической специализации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Организация отраслевого центра передовых агробиотехнологий, совместно с региональным бизнесом и образовательными организациями высшего образования по направлениям: органические продукты; переработка дикора</w:t>
      </w:r>
      <w:r>
        <w:rPr>
          <w:rFonts w:ascii="Arial" w:hAnsi="Arial" w:cs="Arial" w:eastAsia="Arial"/>
          <w:sz w:val="20"/>
          <w:szCs w:val="20"/>
          <w:lang w:val="ru-RU" w:bidi="ru-RU"/>
        </w:rPr>
        <w:t xml:space="preserve">стущего сырья; функциональные продукты питания. Разработка региональных научно-технологических программ в формате КНТП/КПНИ (пилотная программа "Жимолость", "Семеноводство", "Технологии сыроварения" и др.), направленных на технологическое импортозамещение.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Организация регионального агробиотехнопарка для малых инновационных компаний</w:t>
      </w:r>
      <w:r>
        <w:rPr>
          <w:rFonts w:ascii="Arial" w:hAnsi="Arial" w:cs="Arial" w:eastAsia="Arial"/>
          <w:sz w:val="20"/>
          <w:szCs w:val="20"/>
          <w:lang w:val="ru-RU" w:bidi="ru-RU"/>
        </w:rPr>
        <w:t xml:space="preserve"> в сфере АПК, позволяющего вести разработки и пилотирование экспортно ориентированных продуктов в сфере агробиотехнологий, точного земледелия, в том числе беспилотной сельскохозяйственной техники, агророботов, производства функциональных продуктов питания.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w:t>
      </w:r>
      <w:r>
        <w:rPr>
          <w:rFonts w:ascii="Arial" w:hAnsi="Arial" w:cs="Arial" w:eastAsia="Arial"/>
          <w:sz w:val="20"/>
          <w:szCs w:val="20"/>
          <w:lang w:val="ru-RU" w:bidi="ru-RU"/>
        </w:rPr>
        <w:t xml:space="preserve">организации участниками рынка распределенного центра компетенций в формате лабораторий или инжиниринговых центров по разработке новых продуктов и препаратов здорового питания (в сфере профилактики социально значимых заболеваний) и метаболической коррекции.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элементов критической инфраструктуры по всей цепочке стоимости в сельском хозяйстве (семеноводство, животноводство, переработка) и пищевой промышленности за счет формирования рег</w:t>
      </w:r>
      <w:r>
        <w:rPr>
          <w:rFonts w:ascii="Arial" w:hAnsi="Arial" w:cs="Arial" w:eastAsia="Arial"/>
          <w:sz w:val="20"/>
          <w:szCs w:val="20"/>
          <w:lang w:val="ru-RU" w:bidi="ru-RU"/>
        </w:rPr>
        <w:t xml:space="preserve">иональной системы адаптивной селекции, семеноводства и питомниководства для северного земледелия и агрессивных сред, в том числе развитие селекционно-семеноводческих центров (в частности, центр по льну-долгунцу) для снижения зависимости сельского хозяйства</w:t>
      </w:r>
      <w:r>
        <w:rPr>
          <w:rFonts w:ascii="Arial" w:hAnsi="Arial" w:cs="Arial" w:eastAsia="Arial"/>
          <w:sz w:val="20"/>
          <w:szCs w:val="20"/>
          <w:lang w:val="ru-RU" w:bidi="ru-RU"/>
        </w:rPr>
        <w:t xml:space="preserve"> от импорта семян сельскохозяйственных культур, выведение новых сортов сельскохозяйственных культур, востребованных реальным сектором экономики, а также увеличения объема производства семян высших репродукций и посадочного материала отечественной селекции.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Организация цифровой платформы продукции томских производителей для последующего продвижения на крупнейших электронных площадках (Amazon, Alibaba и другие), поддержка традиционных и цифровых каналов экспорта на новые перспективные рынки </w:t>
      </w:r>
      <w:r>
        <w:rPr>
          <w:rFonts w:ascii="Arial" w:hAnsi="Arial" w:cs="Arial" w:eastAsia="Arial"/>
          <w:sz w:val="20"/>
          <w:szCs w:val="20"/>
          <w:lang w:val="ru-RU" w:bidi="ru-RU"/>
        </w:rPr>
        <w:t xml:space="preserve">(СНГ, Вьетнам, Таиланд, Индонезия), содействие интеграции компаний малого и среднего бизнеса в платформы онлайн-торговли с учетом специфики продукта, логистики и географии поставок, требований к качеству и масштабируемости производства со стороны платформ.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Орга</w:t>
      </w:r>
      <w:r>
        <w:rPr>
          <w:rFonts w:ascii="Arial" w:hAnsi="Arial" w:cs="Arial" w:eastAsia="Arial"/>
          <w:sz w:val="20"/>
          <w:szCs w:val="20"/>
          <w:lang w:val="ru-RU" w:bidi="ru-RU"/>
        </w:rPr>
        <w:t xml:space="preserve">низация центра цифрового мониторинга метеорологических параметров, внедрение цифровых решений в сфере агрометеорологии с учетом рискового характера земледелия, обеспечивающих доступ к сервисам по прогнозированию на базе отечественных программных продуктов.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обозначенн</w:t>
      </w:r>
      <w:r>
        <w:rPr>
          <w:rFonts w:ascii="Arial" w:hAnsi="Arial" w:cs="Arial" w:eastAsia="Arial"/>
          <w:sz w:val="20"/>
          <w:szCs w:val="20"/>
          <w:lang w:val="ru-RU" w:bidi="ru-RU"/>
        </w:rPr>
        <w:t xml:space="preserve">ых приоритетов позволит создать систему продовольственной безопасности и импортозамещения на базе собственных продуктов и занять региональным производителям позиции на быстрорастущих мировых рынках в сфере передовой пищевой промышленности. Будет обеспечено</w:t>
      </w:r>
      <w:r>
        <w:rPr>
          <w:rFonts w:ascii="Arial" w:hAnsi="Arial" w:cs="Arial" w:eastAsia="Arial"/>
          <w:sz w:val="20"/>
          <w:szCs w:val="20"/>
          <w:lang w:val="ru-RU" w:bidi="ru-RU"/>
        </w:rPr>
        <w:t xml:space="preserve"> развитие новых форматов взаимодействия бизнеса, включая межотраслевую кооперацию, а также взаимодействие с научными организациями, переход к новой платформе технологий, запуск программ исследований и разработок, поддержка научных и инженерных коллективов.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Осуществление мероприятий, направлен</w:t>
      </w:r>
      <w:r>
        <w:rPr>
          <w:rFonts w:ascii="Arial" w:hAnsi="Arial" w:cs="Arial" w:eastAsia="Arial"/>
          <w:sz w:val="20"/>
          <w:szCs w:val="20"/>
          <w:lang w:val="ru-RU" w:bidi="ru-RU"/>
        </w:rPr>
        <w:t xml:space="preserve">ных на решение задачи, позволит увеличить объем экспорта продукции АПК с 49,8 млн долл. США в 2020 г. до 70,5 млн долл. США к 2030 г. Объем производства пищевой продукции с применением дикорастущего пищевого сырья будет увеличен к 2030 г. на 22,9% к уровню</w:t>
      </w:r>
      <w:r>
        <w:rPr>
          <w:rFonts w:ascii="Arial" w:hAnsi="Arial" w:cs="Arial" w:eastAsia="Arial"/>
          <w:sz w:val="20"/>
          <w:szCs w:val="20"/>
          <w:lang w:val="ru-RU" w:bidi="ru-RU"/>
        </w:rPr>
        <w:t xml:space="preserve"> 2020 г., объем переработки рыбо- и морепродуктов будет увеличен к 2030 г. на 14,3% к уровню 2020 г. При сохранении количественных объемов ставка будет сделана на повышение глубины передела, рост денной стоимости, качественную переработку имеющегося сырья.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Цель 3. Повышение уровня и качества жизни населения на всей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территории Томской области, накопление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человеческого капитала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Повышение уровня и качества жизни населения и накопление человеческого капитала на территории Томской области подразумевают реализацию комплекса мероприятий, которые включают: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Повышение доступности и качества медицинской помощи в условиях системной поддержки проектов и инициат</w:t>
      </w:r>
      <w:r>
        <w:rPr>
          <w:rFonts w:ascii="Arial" w:hAnsi="Arial" w:cs="Arial" w:eastAsia="Arial"/>
          <w:sz w:val="20"/>
          <w:szCs w:val="20"/>
          <w:lang w:val="ru-RU" w:bidi="ru-RU"/>
        </w:rPr>
        <w:t xml:space="preserve">ив в области персонализированной медицины, популяционного здоровья и эпидемиологической безопасности, реализации программ поддержки молодых специалистов в сфере здравоохранения, стимулирования кооперации технологического бизнеса на рынке медицинских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Повышение качества образования на всех уровнях с учетом программ по адаптации образовательной среды к новым социально-экономическим ус</w:t>
      </w:r>
      <w:r>
        <w:rPr>
          <w:rFonts w:ascii="Arial" w:hAnsi="Arial" w:cs="Arial" w:eastAsia="Arial"/>
          <w:sz w:val="20"/>
          <w:szCs w:val="20"/>
          <w:lang w:val="ru-RU" w:bidi="ru-RU"/>
        </w:rPr>
        <w:t xml:space="preserve">ловиям, к требованиям цифровой трансформации и практико-ориентированного характера подготовки специалистов, поддержки предпринимательства в сфере негосударственного сектора образования, создания инфраструктуры многофункционального образовательного кампуса.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Обеспечение жителей качественным и доступным жильем, современными форматами недвижимости, перевод строительного сектора на передовую технологическую платформу. Поддержка формирования и</w:t>
      </w:r>
      <w:r>
        <w:rPr>
          <w:rFonts w:ascii="Arial" w:hAnsi="Arial" w:cs="Arial" w:eastAsia="Arial"/>
          <w:sz w:val="20"/>
          <w:szCs w:val="20"/>
          <w:lang w:val="ru-RU" w:bidi="ru-RU"/>
        </w:rPr>
        <w:t xml:space="preserve">нновационного строительного кластера в регионе, обеспечивающего кооперацию ведущих отраслевых предприятий, использование механизмов поддержки для внедрения модельных и демонстрационных проектов в сфере новых архитектурных решений и строительных 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4. Обеспечение общественной безопасности и защиты жителей Томской области от чрезвычайных ситуаций за счет дальнейшей реализации системных мероприятий на уровне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Развитие физической культуры и спорта, реализация эффективной молодежной политики с учетом развития системы поддержки волонтерской деятельности, инициативных молодежных проектов.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6. Развитие разнообразного и сбалансированного рынка труда в рамках модернизации региональных служб занятости</w:t>
      </w:r>
      <w:r>
        <w:rPr>
          <w:rFonts w:ascii="Arial" w:hAnsi="Arial" w:cs="Arial" w:eastAsia="Arial"/>
          <w:sz w:val="20"/>
          <w:szCs w:val="20"/>
          <w:lang w:val="ru-RU" w:bidi="ru-RU"/>
        </w:rPr>
        <w:t xml:space="preserve">, внедрения цифровых сервисов по мониторингу и прогнозированию состояния трудовых ресурсов и построению карьерных траекторий для жителей, развития сегмента самозанятых, формирования системы массового обучения и переподготовки с учетом требований индустрии.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7. Повышение качества городской среды и формирование современного об</w:t>
      </w:r>
      <w:r>
        <w:rPr>
          <w:rFonts w:ascii="Arial" w:hAnsi="Arial" w:cs="Arial" w:eastAsia="Arial"/>
          <w:sz w:val="20"/>
          <w:szCs w:val="20"/>
          <w:lang w:val="ru-RU" w:bidi="ru-RU"/>
        </w:rPr>
        <w:t xml:space="preserve">лика региона при условии привлечения инвестиций в новые культурные и средовые проекты и инициативы, в т.ч. со стороны частного сектора и институтов развития, внедрения стандартов безопасных пространств с учетом последствий пандемии коронавирусной инфекции.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8. Системные меры адресной социальной поддержки и социальног</w:t>
      </w:r>
      <w:r>
        <w:rPr>
          <w:rFonts w:ascii="Arial" w:hAnsi="Arial" w:cs="Arial" w:eastAsia="Arial"/>
          <w:sz w:val="20"/>
          <w:szCs w:val="20"/>
          <w:lang w:val="ru-RU" w:bidi="ru-RU"/>
        </w:rPr>
        <w:t xml:space="preserve">о обслуживания жителей с учетом развития сотрудничества с социально ориентированными некоммерческими организациями. Меры поддержки программ по внедрению новых форматов оказания социальных услуг, создания условий для совершенствования кадрового обеспечения.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Выполнение цели будет сопровождаться ростом реальных располагаемых денежных доходов населения на 21,11% к 2030 г. по отношению к уровню 2020 г., а также стабилизацией к 2030 г. и ростом с 2030 г. численности населения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3.1. Повысить доступность медицинской помощи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эффективность предоставления медицинских услуг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Стратегические меры по развитию системы здравоохранения Томской области направлены на повышение качества и доступности медицинской помощи, увеличение продолжительности жизни и эффективности предоставления медицинских услуг. В фокусе региона</w:t>
      </w:r>
      <w:r>
        <w:rPr>
          <w:rFonts w:ascii="Arial" w:hAnsi="Arial" w:cs="Arial" w:eastAsia="Arial"/>
          <w:sz w:val="20"/>
          <w:szCs w:val="20"/>
          <w:lang w:val="ru-RU" w:bidi="ru-RU"/>
        </w:rPr>
        <w:t xml:space="preserve">льной политики в области здравоохранения - формирование современной медицинской системы, доступной для всех категорий жителей Томской области и нацеленной на снижение смертности, в том числе за счет развития специализированной и высокотехнологичной помощи.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 территории Томской области реализуются программы подготовки специалистов для системы здравоохранения и меры по поддержке кадрового обеспечения. Подготовку специалистов осуществляет Сибирс</w:t>
      </w:r>
      <w:r>
        <w:rPr>
          <w:rFonts w:ascii="Arial" w:hAnsi="Arial" w:cs="Arial" w:eastAsia="Arial"/>
          <w:sz w:val="20"/>
          <w:szCs w:val="20"/>
          <w:lang w:val="ru-RU" w:bidi="ru-RU"/>
        </w:rPr>
        <w:t xml:space="preserve">кий государственный медицинский университет, входящий в тройку лучших медицинских образовательных организаций высшего образования России. Система поддержки специалистов и решения проблем кадрового дефицита включает программы "Земский доктор" и "Земский фел</w:t>
      </w:r>
      <w:r>
        <w:rPr>
          <w:rFonts w:ascii="Arial" w:hAnsi="Arial" w:cs="Arial" w:eastAsia="Arial"/>
          <w:sz w:val="20"/>
          <w:szCs w:val="20"/>
          <w:lang w:val="ru-RU" w:bidi="ru-RU"/>
        </w:rPr>
        <w:t xml:space="preserve">ьдшер", выплаты по которым могут быть предоставлены медицинским работникам, в том числе в возрасте старше 50 лет. В муниципальных образованиях реализуются программы по привлечению и закреплению медицинских кадров и обеспечению мер социальной поддержки меди</w:t>
      </w:r>
      <w:r>
        <w:rPr>
          <w:rFonts w:ascii="Arial" w:hAnsi="Arial" w:cs="Arial" w:eastAsia="Arial"/>
          <w:sz w:val="20"/>
          <w:szCs w:val="20"/>
          <w:lang w:val="ru-RU" w:bidi="ru-RU"/>
        </w:rPr>
        <w:t xml:space="preserve">цинских работников: предоставление муниципального жилья и найм с оплатой за счет средств муниципальных образований. Томская область лидирует в СФО и занимает 14 позицию в России по показателю обеспеченности врачами всех специальностей на 10 тыс.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Географические особенности региона, низкая транспортная доступность, большая площадь обл</w:t>
      </w:r>
      <w:r>
        <w:rPr>
          <w:rFonts w:ascii="Arial" w:hAnsi="Arial" w:cs="Arial" w:eastAsia="Arial"/>
          <w:sz w:val="20"/>
          <w:szCs w:val="20"/>
          <w:lang w:val="ru-RU" w:bidi="ru-RU"/>
        </w:rPr>
        <w:t xml:space="preserve">асти приводят к тому, что десятки отдаленных населенных пунктов остаются без квалифицированного медицинского персонала. Для решения этой проблемы с целью профилактического обследования жителей труднодоступных сельских населенных пунктов с 2017 года реализу</w:t>
      </w:r>
      <w:r>
        <w:rPr>
          <w:rFonts w:ascii="Arial" w:hAnsi="Arial" w:cs="Arial" w:eastAsia="Arial"/>
          <w:sz w:val="20"/>
          <w:szCs w:val="20"/>
          <w:lang w:val="ru-RU" w:bidi="ru-RU"/>
        </w:rPr>
        <w:t xml:space="preserve">ется региональный проект "Маршрут здоровья" (охватывает за одну экспедицию порядка 60 населенных пунктов, около 9 тыс. жителей); ежегодно осуществляется строительство и ремонт фельдшерско-акушерских пунктов, организуются мобильные бригады районных больниц.</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Значимым направлением развития системы здравоохранения является ее цифровизация и повышение технологиче</w:t>
      </w:r>
      <w:r>
        <w:rPr>
          <w:rFonts w:ascii="Arial" w:hAnsi="Arial" w:cs="Arial" w:eastAsia="Arial"/>
          <w:sz w:val="20"/>
          <w:szCs w:val="20"/>
          <w:lang w:val="ru-RU" w:bidi="ru-RU"/>
        </w:rPr>
        <w:t xml:space="preserve">ской обеспеченности. В регионе функционирует Единая государственная информационная система в области здравоохранения, создается Единый цифровой контур в здравоохранении на основе ЕГИСЗ. Запущена онлайн-платформа ранней диагностики рака (oncorisk.tomonco.ru</w:t>
      </w:r>
      <w:r>
        <w:rPr>
          <w:rFonts w:ascii="Arial" w:hAnsi="Arial" w:cs="Arial" w:eastAsia="Arial"/>
          <w:sz w:val="20"/>
          <w:szCs w:val="20"/>
          <w:lang w:val="ru-RU" w:bidi="ru-RU"/>
        </w:rPr>
        <w:t xml:space="preserve">), разработанная Томским областным онкологическим диспансером. В 22 больницах установлено телемедицинское оборудование, идет работа в формате "врач-врач", развивается взаимодействия "врач-пациент". В Томском областном онкологическом диспансере проводятся р</w:t>
      </w:r>
      <w:r>
        <w:rPr>
          <w:rFonts w:ascii="Arial" w:hAnsi="Arial" w:cs="Arial" w:eastAsia="Arial"/>
          <w:sz w:val="20"/>
          <w:szCs w:val="20"/>
          <w:lang w:val="ru-RU" w:bidi="ru-RU"/>
        </w:rPr>
        <w:t xml:space="preserve">адиохирургические операции и лучевая терапия. В Томской областной клинической больнице используются иностранные технологии - швейцарские аппараты ИВЛ с искусственным интеллектом, разрабатываются собственные технологии по контролю работы медицинских сестер.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инициатив по развитию системы здравоохранения до 2030 года должна быть ориентирована на решение существующих проблем: рост общей и первичной заболеваемости населения; недостаточная обеспеченность санаторно-курортными орг</w:t>
      </w:r>
      <w:r>
        <w:rPr>
          <w:rFonts w:ascii="Arial" w:hAnsi="Arial" w:cs="Arial" w:eastAsia="Arial"/>
          <w:sz w:val="20"/>
          <w:szCs w:val="20"/>
          <w:lang w:val="ru-RU" w:bidi="ru-RU"/>
        </w:rPr>
        <w:t xml:space="preserve">анизациями, медицинскими учреждениями, оказывающими стационарное и амбулаторное лечение; устаревание материально-технической базы; дефицит среднего медицинского персонала и специалистов с высокой квалификацией и навыками работы на современном оборудовании.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Кроме того, эпидемиологическая ситуация на территории Томской области, вызванная ра</w:t>
      </w:r>
      <w:r>
        <w:rPr>
          <w:rFonts w:ascii="Arial" w:hAnsi="Arial" w:cs="Arial" w:eastAsia="Arial"/>
          <w:sz w:val="20"/>
          <w:szCs w:val="20"/>
          <w:lang w:val="ru-RU" w:bidi="ru-RU"/>
        </w:rPr>
        <w:t xml:space="preserve">спространением коронавирусной инфекции COVID-19, сформировала новые вызовы для региональной системы здравоохранения. Помимо готовности системы здравоохранения своевременно реагировать на распространение инфекции и оказывать необходимую медицинскую помощь п</w:t>
      </w:r>
      <w:r>
        <w:rPr>
          <w:rFonts w:ascii="Arial" w:hAnsi="Arial" w:cs="Arial" w:eastAsia="Arial"/>
          <w:sz w:val="20"/>
          <w:szCs w:val="20"/>
          <w:lang w:val="ru-RU" w:bidi="ru-RU"/>
        </w:rPr>
        <w:t xml:space="preserve">ациентам разной степени тяжести, центральное место занимает эффективное проведение санитарными службами специализированных мероприятий в короткий срок по выявлению новых случаев заражения и предотвращению распространения инфекции среди здорового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Ключевыми краткосрочными задачами для региональной медицины стали: обеспече</w:t>
      </w:r>
      <w:r>
        <w:rPr>
          <w:rFonts w:ascii="Arial" w:hAnsi="Arial" w:cs="Arial" w:eastAsia="Arial"/>
          <w:sz w:val="20"/>
          <w:szCs w:val="20"/>
          <w:lang w:val="ru-RU" w:bidi="ru-RU"/>
        </w:rPr>
        <w:t xml:space="preserve">ние мониторинга массового состояния здоровья, доступность лекарственных средств, качественная система управления потоками, в том числе в период неожиданных "пиковых" нагрузок. Критически важными параметрами устойчивости сектора оказались: система снабжения</w:t>
      </w:r>
      <w:r>
        <w:rPr>
          <w:rFonts w:ascii="Arial" w:hAnsi="Arial" w:cs="Arial" w:eastAsia="Arial"/>
          <w:sz w:val="20"/>
          <w:szCs w:val="20"/>
          <w:lang w:val="ru-RU" w:bidi="ru-RU"/>
        </w:rPr>
        <w:t xml:space="preserve"> техникой, доступность технологий, медицинских изделий, технологических компонентов, доступность средств защиты. Данные параметры будут актуальны в следующие несколько лет. Потребуется реорганизовать медицину и по-новому проектировать технологическую базу.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долгосрочной перспективе статус "здоровой" ("безопасной")</w:t>
      </w:r>
      <w:r>
        <w:rPr>
          <w:rFonts w:ascii="Arial" w:hAnsi="Arial" w:cs="Arial" w:eastAsia="Arial"/>
          <w:sz w:val="20"/>
          <w:szCs w:val="20"/>
          <w:lang w:val="ru-RU" w:bidi="ru-RU"/>
        </w:rPr>
        <w:t xml:space="preserve"> территории - главное условие конкурентоспособности, привлекательности для жителей и инвесторов, социально-экономического роста региона. Система здравоохранения области должна перейти к единой высокотехнологической системе массового сохранения и укрепления</w:t>
      </w:r>
      <w:r>
        <w:rPr>
          <w:rFonts w:ascii="Arial" w:hAnsi="Arial" w:cs="Arial" w:eastAsia="Arial"/>
          <w:sz w:val="20"/>
          <w:szCs w:val="20"/>
          <w:lang w:val="ru-RU" w:bidi="ru-RU"/>
        </w:rPr>
        <w:t xml:space="preserve"> здоровья населения всех возрастов, начиная с рождения. С фокусировки на лечение необходимо перейти к мониторингу и предотвращению рисков заболеваний, сохранению здоровья граждан на персональном уровне. Дальнейшее развитие региональной медицины должно осно</w:t>
      </w:r>
      <w:r>
        <w:rPr>
          <w:rFonts w:ascii="Arial" w:hAnsi="Arial" w:cs="Arial" w:eastAsia="Arial"/>
          <w:sz w:val="20"/>
          <w:szCs w:val="20"/>
          <w:lang w:val="ru-RU" w:bidi="ru-RU"/>
        </w:rPr>
        <w:t xml:space="preserve">вываться на передовых решениях, быстром технологическом трансфере результатов научных разработок в медицинскую среду, применении цифровых технологий в медицине. Необходим переход на персонифицированные форматы услуг на базе мультисервисных онлайн-платформ.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развития здравоохранения Томской области в новых условиях необходима реализация дополнительного направления - Персонализированная медицина, популяционное здоровье и эпидемиологическая безопасность.</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Персонализированная медицина, популяционное здоровье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эпидемиологическая безопасность</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Реинжиниринг (комплексное перепроектирование) региональной системы здравоохранения и системы мониторинга общественного здоровья: создание гибкой, способной мгновенно переходить в режим повышенной готовности системы.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долгосрочных системных популяционных исследований, создание баз данных по профилактике заболеваний, единой региональной системы профилактики, разработка основ здорового питания (совместно с Сибирским государственным медицинским университетом).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Переход на новые региональные станда</w:t>
      </w:r>
      <w:r>
        <w:rPr>
          <w:rFonts w:ascii="Arial" w:hAnsi="Arial" w:cs="Arial" w:eastAsia="Arial"/>
          <w:sz w:val="20"/>
          <w:szCs w:val="20"/>
          <w:lang w:val="ru-RU" w:bidi="ru-RU"/>
        </w:rPr>
        <w:t xml:space="preserve">рты эпидемиологической безопасности типа "здоровый город" (стандарты повышенного класса ковид-безопасности объектов социальной инфраструктуры, городской среды), внедрение системы прогнозирования заболеваний, мониторинга рисков эпидемий и массовых инфекций.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существующих потенциалов в ре</w:t>
      </w:r>
      <w:r>
        <w:rPr>
          <w:rFonts w:ascii="Arial" w:hAnsi="Arial" w:cs="Arial" w:eastAsia="Arial"/>
          <w:sz w:val="20"/>
          <w:szCs w:val="20"/>
          <w:lang w:val="ru-RU" w:bidi="ru-RU"/>
        </w:rPr>
        <w:t xml:space="preserve">гионе для формирования индустрии здоровья и здорового образа жизни в сочетании классической медицины с сегментом функциональных продуктов питания, услуг реабилитации и профилактики на базе существующей сети санаториев, услуг традиционной народной медицины.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мультисервисной интернет</w:t>
      </w:r>
      <w:r>
        <w:rPr>
          <w:rFonts w:ascii="Arial" w:hAnsi="Arial" w:cs="Arial" w:eastAsia="Arial"/>
          <w:sz w:val="20"/>
          <w:szCs w:val="20"/>
          <w:lang w:val="ru-RU" w:bidi="ru-RU"/>
        </w:rPr>
        <w:t xml:space="preserve">-платформы для жителей Томской области по услугам в сфере здорового образа жизни, спорта, питания, вэлнес и лечения. Совмещение услуг, оказываемых частными и государственными клиниками в системе ОМС. Включение коммерческих услуг, компаний частной медицины.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Организационная, административная и финансовая поддержка реорганизации медицинских организаций, в том числе частных, по переходу на новые требования безопасности, передовые медицинские технологии.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дизайн-центра и центра трансфера технологий и медицинских иннова</w:t>
      </w:r>
      <w:r>
        <w:rPr>
          <w:rFonts w:ascii="Arial" w:hAnsi="Arial" w:cs="Arial" w:eastAsia="Arial"/>
          <w:sz w:val="20"/>
          <w:szCs w:val="20"/>
          <w:lang w:val="ru-RU" w:bidi="ru-RU"/>
        </w:rPr>
        <w:t xml:space="preserve">ций совместно с технологическими компаниями, венчурными фондами, ведущими научными группами г. Томска и страны. Проработка региональной инициативы создания инжинирингового центра по разработке приборов и технологий для медицинской робототехники, экстремаль</w:t>
      </w:r>
      <w:r>
        <w:rPr>
          <w:rFonts w:ascii="Arial" w:hAnsi="Arial" w:cs="Arial" w:eastAsia="Arial"/>
          <w:sz w:val="20"/>
          <w:szCs w:val="20"/>
          <w:lang w:val="ru-RU" w:bidi="ru-RU"/>
        </w:rPr>
        <w:t xml:space="preserve">ной и реабилитационной медицины. Содействие в разработке и сертификации продукции медицинского применения, востребованных средств и препаратов (медицинская конверсия), применение инновационных продуктов в клиниках региона в режиме "регулятивной песочницы".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сете</w:t>
      </w:r>
      <w:r>
        <w:rPr>
          <w:rFonts w:ascii="Arial" w:hAnsi="Arial" w:cs="Arial" w:eastAsia="Arial"/>
          <w:sz w:val="20"/>
          <w:szCs w:val="20"/>
          <w:lang w:val="ru-RU" w:bidi="ru-RU"/>
        </w:rPr>
        <w:t xml:space="preserve">вого научно-образовательного центра высокотехнологичной медицины в сфере общественного здоровья и эпидемиологической безопасности, в том числе с целью разработки и внедрения новых образовательных программ для населения, предприятий, медицинских работников.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Кроме того, в регионе будут продолжены следующие приоритетные мероприятия стратегического развития системы здравоохранения до 2030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системы профилактики и диагностики заболеваний на ранних стадиях.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си</w:t>
      </w:r>
      <w:r>
        <w:rPr>
          <w:rFonts w:ascii="Arial" w:hAnsi="Arial" w:cs="Arial" w:eastAsia="Arial"/>
          <w:sz w:val="20"/>
          <w:szCs w:val="20"/>
          <w:lang w:val="ru-RU" w:bidi="ru-RU"/>
        </w:rPr>
        <w:t xml:space="preserve">стемы оказания экстренной медицинской помощи, в том числе в отдаленных населенных пунктах Томской области с привлечением транспортных средств, оснащенных специализированной техникой (автомобили скорой медицинской помощи разных классов, санитарная авиация).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Улучшение качества медицинской помощи путем модернизации первичного звена здравоохранения, строительства, ремонта и переоснащения фельдшерско-акушерских пунктов на всей территории Томской области, в т.ч. обновление материально-технической базы.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условий для роста и развития молодых специалистов в сфере здравоохранения, предупреждение оттока специалистов в другие регионы.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и реализация системных решений по обеспечению эпидемиологической безопасности на территории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рынка медицинских услуг, в том числе сотрудничество с российскими технологическими компаниями в сфере медицинских услуг, развитие обеспечивающих отраслей в регионе, экспорт медицинских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Внедрение цифровых инструментов для широкого использования жителями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Результатом выполнения задачи станет создание персонализированной цифровой модели сохранения и укрепления здоровья человека в течение всей жизни, гибкой системы здравоохр</w:t>
      </w:r>
      <w:r>
        <w:rPr>
          <w:rFonts w:ascii="Arial" w:hAnsi="Arial" w:cs="Arial" w:eastAsia="Arial"/>
          <w:sz w:val="20"/>
          <w:szCs w:val="20"/>
          <w:lang w:val="ru-RU" w:bidi="ru-RU"/>
        </w:rPr>
        <w:t xml:space="preserve">анения, способной адаптироваться к новым вызовам и сохранять устойчивость в изменяющихся условиях, что позволит повысить ожидаемую продолжительность жизни с 71,2 года в 2020 г. до 77,89 лет в 2030 г. и сократить смертность с 13,3 в 2020 г. до 9,5 в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3.2. Содействовать повышению качества образования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в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Стратегия ориентирована на создание условий для развития качественного человеческого капитала Томской области на всех уровнях образования.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Дошкольное образование</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политики Томской области в с</w:t>
      </w:r>
      <w:r>
        <w:rPr>
          <w:rFonts w:ascii="Arial" w:hAnsi="Arial" w:cs="Arial" w:eastAsia="Arial"/>
          <w:sz w:val="20"/>
          <w:szCs w:val="20"/>
          <w:lang w:val="ru-RU" w:bidi="ru-RU"/>
        </w:rPr>
        <w:t xml:space="preserve">фере дошкольного образования - повышение доступности и качества дошкольного образования для детей Томской области в возрасте до 7 лет (в частности, от 1,5 до 3 лет и от 3 до 7 лет), в том числе проживающих в отдаленных населенных пунктах. Система стратегич</w:t>
      </w:r>
      <w:r>
        <w:rPr>
          <w:rFonts w:ascii="Arial" w:hAnsi="Arial" w:cs="Arial" w:eastAsia="Arial"/>
          <w:sz w:val="20"/>
          <w:szCs w:val="20"/>
          <w:lang w:val="ru-RU" w:bidi="ru-RU"/>
        </w:rPr>
        <w:t xml:space="preserve">еских мер ориентирована на развитие инфраструктуры дошкольного образования для создания дополнительных мест в образовательных организациях, модернизацию дошкольного образования, в том числе за счет привлечения некоммерческих организаций и частного бизнеса.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регионе проведена работа по реорганизации сети дошкольных образовательных учреждений, созда</w:t>
      </w:r>
      <w:r>
        <w:rPr>
          <w:rFonts w:ascii="Arial" w:hAnsi="Arial" w:cs="Arial" w:eastAsia="Arial"/>
          <w:sz w:val="20"/>
          <w:szCs w:val="20"/>
          <w:lang w:val="ru-RU" w:bidi="ru-RU"/>
        </w:rPr>
        <w:t xml:space="preserve">ны новые места за счет строительства в рамках государственно-частного партнерства, выкупа новых зданий, расширения площадей и пр., что позволило сохранить на уровне 100% обеспеченность доступности дошкольного образования для детей в возрасте от 3 до 7 лет.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Ряд дошкольных образовательных организаций Томской области имеют статус инновационных площадок и рес</w:t>
      </w:r>
      <w:r>
        <w:rPr>
          <w:rFonts w:ascii="Arial" w:hAnsi="Arial" w:cs="Arial" w:eastAsia="Arial"/>
          <w:sz w:val="20"/>
          <w:szCs w:val="20"/>
          <w:lang w:val="ru-RU" w:bidi="ru-RU"/>
        </w:rPr>
        <w:t xml:space="preserve">урсных центров регионального уровня. Для родителей, чьи дети не посещают дошкольные образовательные организации, действуют консультационные центры, предоставляющие бесплатную методическую, психолого-педагогическую, диагностическую и консультативную помощь.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Приоритетом развития дошкольного образования является расширение участия региона в государственных программах и взаимодействие с бизнесом для создания большего числа учреждений дошкольного образования, в том числе на территориях, где ож</w:t>
      </w:r>
      <w:r>
        <w:rPr>
          <w:rFonts w:ascii="Arial" w:hAnsi="Arial" w:cs="Arial" w:eastAsia="Arial"/>
          <w:sz w:val="20"/>
          <w:szCs w:val="20"/>
          <w:lang w:val="ru-RU" w:bidi="ru-RU"/>
        </w:rPr>
        <w:t xml:space="preserve">идается строительство нового жилья, обеспечения близости дошкольных учреждений к местам проживания и соответствия количества (достаточности) мест в детских садах количеству молодых семей на территории региона, в том числе с учетом их возможного увеличения.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Общее образование</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поли</w:t>
      </w:r>
      <w:r>
        <w:rPr>
          <w:rFonts w:ascii="Arial" w:hAnsi="Arial" w:cs="Arial" w:eastAsia="Arial"/>
          <w:sz w:val="20"/>
          <w:szCs w:val="20"/>
          <w:lang w:val="ru-RU" w:bidi="ru-RU"/>
        </w:rPr>
        <w:t xml:space="preserve">тики Томской области в сфере общего образования - создание современной образовательной среды с равным доступом к качественному общему образованию, отвечающему современным требованиям для всех жителей школьного возраста независимо от степени удаленности нас</w:t>
      </w:r>
      <w:r>
        <w:rPr>
          <w:rFonts w:ascii="Arial" w:hAnsi="Arial" w:cs="Arial" w:eastAsia="Arial"/>
          <w:sz w:val="20"/>
          <w:szCs w:val="20"/>
          <w:lang w:val="ru-RU" w:bidi="ru-RU"/>
        </w:rPr>
        <w:t xml:space="preserve">еленного пункта. Стратегией предусмотрено формирование цифровой образовательной среды, позволяющей реализовать образовательные программы разных профилей и создающей возможности для персонализированного образования у детей независимо от места их проживания.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Сеть общеобразовательных организаций Томской области характеризуется значительным видовым разнообразием образовательных программ и положительной динамикой сетевых показателей по контингентам обучаемых, педагогических работников и обслуживающего</w:t>
      </w:r>
      <w:r>
        <w:rPr>
          <w:rFonts w:ascii="Arial" w:hAnsi="Arial" w:cs="Arial" w:eastAsia="Arial"/>
          <w:sz w:val="20"/>
          <w:szCs w:val="20"/>
          <w:lang w:val="ru-RU" w:bidi="ru-RU"/>
        </w:rPr>
        <w:t xml:space="preserve"> персонала. С целью повышения доступности общего образования будет продолжена реализация региональных проектов, направленных на создание условий для обучения школьников с использованием дистанционных образовательных технологий и электронного обучения &lt;26&gt;.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&lt;26&gt; 99% организаций оснащены компьютерами и проекторами, 96% - интерактивными досками; 40% - цифровыми лабораториями, 65% - наборами робототехники. 45% школ имеют в наличии мобильные классы. К сети Интернет подключено 75 объектов образования.</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Регионом будет продолжена работа по строительству, ремо</w:t>
      </w:r>
      <w:r>
        <w:rPr>
          <w:rFonts w:ascii="Arial" w:hAnsi="Arial" w:cs="Arial" w:eastAsia="Arial"/>
          <w:sz w:val="20"/>
          <w:szCs w:val="20"/>
          <w:lang w:val="ru-RU" w:bidi="ru-RU"/>
        </w:rPr>
        <w:t xml:space="preserve">нту школ, совершенствованию материально-технического обеспечения современным учебным и спортивным оборудованием, информационно-техническими средствами, что позволит увеличить число общеобразовательных организаций, обеспеченных всеми видами благоустройства.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регионе растет качество услуг в сфере инклюзивного образования &lt;27&gt;, ежегодно увеличивается количество детей с особыми образовательными</w:t>
      </w:r>
      <w:r>
        <w:rPr>
          <w:rFonts w:ascii="Arial" w:hAnsi="Arial" w:cs="Arial" w:eastAsia="Arial"/>
          <w:sz w:val="20"/>
          <w:szCs w:val="20"/>
          <w:lang w:val="ru-RU" w:bidi="ru-RU"/>
        </w:rPr>
        <w:t xml:space="preserve"> потребностями в школах, детских садах и организациях дополнительного образования детей. Во многом акцент делается на модернизацию инфраструктуры, чтобы после окончания коррекционных школ выпускники могли найти себя в профессии. В связи с этим планируется: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&lt;27&gt; В 2019 году доля общеобразовательных организаций, в которых создана универсальная безбарьерная среда для инклюзивного образования детей-инвалидов, в общем количестве общеобразовательных организаций Томской области составила 23,2%.</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 обновление, оснащение трудовых мастерских современным оборудованием,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внедрение современных программ трудового и профессионально-трудового обучения в коррекционных школах по востребованным на рынке труда профессиям.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Данные меры позволят не только по</w:t>
      </w:r>
      <w:r>
        <w:rPr>
          <w:rFonts w:ascii="Arial" w:hAnsi="Arial" w:cs="Arial" w:eastAsia="Arial"/>
          <w:sz w:val="20"/>
          <w:szCs w:val="20"/>
          <w:lang w:val="ru-RU" w:bidi="ru-RU"/>
        </w:rPr>
        <w:t xml:space="preserve">высить доступность качественного образования для детей с ОВЗ и детей-инвалидов, но и будут способствовать повышению конкурентоспособности получаемого образования, а соответственно, и улучшению качества жизни детей с ОВЗ и детей-инвалидов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Ключевой вызов для системы общего образования до 2030 года - формирование в Томской области </w:t>
      </w:r>
      <w:r>
        <w:rPr>
          <w:rFonts w:ascii="Arial" w:hAnsi="Arial" w:cs="Arial" w:eastAsia="Arial"/>
          <w:sz w:val="20"/>
          <w:szCs w:val="20"/>
          <w:lang w:val="ru-RU" w:bidi="ru-RU"/>
        </w:rPr>
        <w:t xml:space="preserve">полноценного региона знаний. Школа должна быть готова включиться в эту работу, стать равноправным участником современной наукоемкой экономики и общества региона, воспитать новое поколение талантов, демонстрировать передовые подходы к обучению и воспитанию.</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Дополнительное образование</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политики Томской области в сфере дополнительного образования - обеспечение для детей в возрасте от 5 до 18 лет доступных для каждого и качественных условий для воспитания гармонично развитой и социально ответственной личност</w:t>
      </w:r>
      <w:r>
        <w:rPr>
          <w:rFonts w:ascii="Arial" w:hAnsi="Arial" w:cs="Arial" w:eastAsia="Arial"/>
          <w:sz w:val="20"/>
          <w:szCs w:val="20"/>
          <w:lang w:val="ru-RU" w:bidi="ru-RU"/>
        </w:rPr>
        <w:t xml:space="preserve">и путем увеличения охвата дополнительным образованием до 80% от общего числа детей, обновления содержания и методов дополнительного образования детей, развития кадрового потенциала и модернизации инфраструктуры системы дополнительного образования детей. Ст</w:t>
      </w:r>
      <w:r>
        <w:rPr>
          <w:rFonts w:ascii="Arial" w:hAnsi="Arial" w:cs="Arial" w:eastAsia="Arial"/>
          <w:sz w:val="20"/>
          <w:szCs w:val="20"/>
          <w:lang w:val="ru-RU" w:bidi="ru-RU"/>
        </w:rPr>
        <w:t xml:space="preserve">ратегией предусмотрено создание условий для доступности качественного дополнительного образования и возможности построения дальнейшей успешной образовательной и профессиональной карьеры, формирование в системе дополнительного образования социальных лифтов.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 целью обеспечения равного доступа детей к обучению по дополнительным общеобразовательным программам регионом проводится работа по со</w:t>
      </w:r>
      <w:r>
        <w:rPr>
          <w:rFonts w:ascii="Arial" w:hAnsi="Arial" w:cs="Arial" w:eastAsia="Arial"/>
          <w:sz w:val="20"/>
          <w:szCs w:val="20"/>
          <w:lang w:val="ru-RU" w:bidi="ru-RU"/>
        </w:rPr>
        <w:t xml:space="preserve">зданию новых мест в образовательных организациях, формированию организационно-финансовых механизмов. Проводятся мероприятия, направленные на профориентацию детей на профессии, которые являются востребованными и перспективными для экономики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 целью создания системы воспитания </w:t>
      </w:r>
      <w:r>
        <w:rPr>
          <w:rFonts w:ascii="Arial" w:hAnsi="Arial" w:cs="Arial" w:eastAsia="Arial"/>
          <w:sz w:val="20"/>
          <w:szCs w:val="20"/>
          <w:lang w:val="ru-RU" w:bidi="ru-RU"/>
        </w:rPr>
        <w:t xml:space="preserve">талантов в сфере науки и техники и вовлечения в эту сферу детей с раннего возраста, подготовки нового поколения молодежи, а также на работу в высокотехнологичных сферах действует региональный проект "Территория интеллекта", который предусматривает интеграц</w:t>
      </w:r>
      <w:r>
        <w:rPr>
          <w:rFonts w:ascii="Arial" w:hAnsi="Arial" w:cs="Arial" w:eastAsia="Arial"/>
          <w:sz w:val="20"/>
          <w:szCs w:val="20"/>
          <w:lang w:val="ru-RU" w:bidi="ru-RU"/>
        </w:rPr>
        <w:t xml:space="preserve">ию всех уровней образования и предприятий; действует ЦМИТ "Школа цифровых технологий", осуществляющий деятельность по направлениям робототехники, программирования и научно-технического творчества для школьников; открыт центр цифрового образования "IT-куб".</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создания единого образовательного пространства развития общекультурных компетенций, цифровой грамотности, проектной деятельности, творческой самореализации и осознанного выбора профессиональной образовательной тра</w:t>
      </w:r>
      <w:r>
        <w:rPr>
          <w:rFonts w:ascii="Arial" w:hAnsi="Arial" w:cs="Arial" w:eastAsia="Arial"/>
          <w:sz w:val="20"/>
          <w:szCs w:val="20"/>
          <w:lang w:val="ru-RU" w:bidi="ru-RU"/>
        </w:rPr>
        <w:t xml:space="preserve">ектории школьников с 2017 г. действует детский технопарк "Кванториум". При участии "Кванториума" реализуются программы дополнительного образования детей, в том числе на базе центров цифрового и гуманитарного образования "Точки роста" в сельских школах. В 2</w:t>
      </w:r>
      <w:r>
        <w:rPr>
          <w:rFonts w:ascii="Arial" w:hAnsi="Arial" w:cs="Arial" w:eastAsia="Arial"/>
          <w:sz w:val="20"/>
          <w:szCs w:val="20"/>
          <w:lang w:val="ru-RU" w:bidi="ru-RU"/>
        </w:rPr>
        <w:t xml:space="preserve">020 г. запущен мобильный "Кванториум", благодаря чему доступ к дополнительному образованию высокого качества и с профориентационной составляющей стал доступен для детей не только в пределах Томской агломерации, но и в муниципальных районах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 2030 г. будет продолжена работа по внедрению в образовательное пространство новых видов детского техни</w:t>
      </w:r>
      <w:r>
        <w:rPr>
          <w:rFonts w:ascii="Arial" w:hAnsi="Arial" w:cs="Arial" w:eastAsia="Arial"/>
          <w:sz w:val="20"/>
          <w:szCs w:val="20"/>
          <w:lang w:val="ru-RU" w:bidi="ru-RU"/>
        </w:rPr>
        <w:t xml:space="preserve">ческого творчества, популяризации научно-технического творчества среди детей и молодежи, вовлечению образовательных организаций высшего образования, предприятий и некоммерческих организаций к реализации общеразвивающих программ дополнительного образования.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Среднее профессиональное образование</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политики Томской обл</w:t>
      </w:r>
      <w:r>
        <w:rPr>
          <w:rFonts w:ascii="Arial" w:hAnsi="Arial" w:cs="Arial" w:eastAsia="Arial"/>
          <w:sz w:val="20"/>
          <w:szCs w:val="20"/>
          <w:lang w:val="ru-RU" w:bidi="ru-RU"/>
        </w:rPr>
        <w:t xml:space="preserve">асти - создание системы профессионального образования, целью которой является предоставление возможностей жителям Томской области для обучения по востребованным и перспективным профессиям, соответствующим требованиям региональной экономики, в том числе за </w:t>
      </w:r>
      <w:r>
        <w:rPr>
          <w:rFonts w:ascii="Arial" w:hAnsi="Arial" w:cs="Arial" w:eastAsia="Arial"/>
          <w:sz w:val="20"/>
          <w:szCs w:val="20"/>
          <w:lang w:val="ru-RU" w:bidi="ru-RU"/>
        </w:rPr>
        <w:t xml:space="preserve">счет внедрения новых образовательных программ профессионального образования, инфраструктурного обеспечения образовательных организаций, создания и развития цифровых платформенных решений для расширения доступа жителей к образовательным программам и курсам.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Организации сектора среднего </w:t>
      </w:r>
      <w:r>
        <w:rPr>
          <w:rFonts w:ascii="Arial" w:hAnsi="Arial" w:cs="Arial" w:eastAsia="Arial"/>
          <w:sz w:val="20"/>
          <w:szCs w:val="20"/>
          <w:lang w:val="ru-RU" w:bidi="ru-RU"/>
        </w:rPr>
        <w:t xml:space="preserve">профессионального образования Томской области продолжают работать на задачу по обеспечению кадрами региональной экономики. Наблюдается рост доли выпускников организаций профессионального образования, устроившихся по специальности. Ключевыми направлениями п</w:t>
      </w:r>
      <w:r>
        <w:rPr>
          <w:rFonts w:ascii="Arial" w:hAnsi="Arial" w:cs="Arial" w:eastAsia="Arial"/>
          <w:sz w:val="20"/>
          <w:szCs w:val="20"/>
          <w:lang w:val="ru-RU" w:bidi="ru-RU"/>
        </w:rPr>
        <w:t xml:space="preserve">одготовки являются нефтегазовая, нефтехимическая, фармацевтическая, биотехнологическая промышленность, агропромышленный комплекс, машиностроение, здравоохранение, строительный комплекс, научно-образовательный комплекс, лесопромышленный комплекс, транспорт.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Преимуществом Томской области является реализация актуальных, эффективных образовательных форматов, направленных на подготовку высокопроизводит</w:t>
      </w:r>
      <w:r>
        <w:rPr>
          <w:rFonts w:ascii="Arial" w:hAnsi="Arial" w:cs="Arial" w:eastAsia="Arial"/>
          <w:sz w:val="20"/>
          <w:szCs w:val="20"/>
          <w:lang w:val="ru-RU" w:bidi="ru-RU"/>
        </w:rPr>
        <w:t xml:space="preserve">ельных кадров для экономики, в частности, на базе Томского экономико-промышленного колледжа запущена учебная лаборатория "Фабрика процессов" с целью повышения профессиональных компетенций специалистов предприятий региона в области бережливого производства.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Система профессионального образования ориентирована на обучение профессиям буду</w:t>
      </w:r>
      <w:r>
        <w:rPr>
          <w:rFonts w:ascii="Arial" w:hAnsi="Arial" w:cs="Arial" w:eastAsia="Arial"/>
          <w:sz w:val="20"/>
          <w:szCs w:val="20"/>
          <w:lang w:val="ru-RU" w:bidi="ru-RU"/>
        </w:rPr>
        <w:t xml:space="preserve">щего. Сформирован перечень из 214 опережающих профессиональных компетенций, созданы и оснащены современным оборудованием мастерские в соответствии с международными стандартами Ворлдскиллс, проведена государственная итоговая аттестация с использованием меха</w:t>
      </w:r>
      <w:r>
        <w:rPr>
          <w:rFonts w:ascii="Arial" w:hAnsi="Arial" w:cs="Arial" w:eastAsia="Arial"/>
          <w:sz w:val="20"/>
          <w:szCs w:val="20"/>
          <w:lang w:val="ru-RU" w:bidi="ru-RU"/>
        </w:rPr>
        <w:t xml:space="preserve">низма демонстрационного экзамена, организовано повышение квалификации преподавателей и мастеров производственного обучения по программам Ворлдскиллс, организовано прохождение сертификации эксперта Ворлдскиллс, ведется апробация модели наставничества в СПО.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2019 году на базе Томского техникума информационных технологий открыт один из первых 14 пилотных Центров опережающей профессиональной подготовки Томской области (ЦОПП) в Российской Федерации, который ориентирован на цифровую трансформацию э</w:t>
      </w:r>
      <w:r>
        <w:rPr>
          <w:rFonts w:ascii="Arial" w:hAnsi="Arial" w:cs="Arial" w:eastAsia="Arial"/>
          <w:sz w:val="20"/>
          <w:szCs w:val="20"/>
          <w:lang w:val="ru-RU" w:bidi="ru-RU"/>
        </w:rPr>
        <w:t xml:space="preserve">кономики региона, эффективную реализацию модели опережающей профессиональной подготовки, в том числе получение кластерного заказа на подготовку кадров по новым, актуальным и востребованным компетенциям, совместную разработку и реализацию коротких программ.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создания специальных условий, обеспечивающих доступность среднего профессионального образования и профессионального обучен</w:t>
      </w:r>
      <w:r>
        <w:rPr>
          <w:rFonts w:ascii="Arial" w:hAnsi="Arial" w:cs="Arial" w:eastAsia="Arial"/>
          <w:sz w:val="20"/>
          <w:szCs w:val="20"/>
          <w:lang w:val="ru-RU" w:bidi="ru-RU"/>
        </w:rPr>
        <w:t xml:space="preserve">ия для лиц с ограниченными возможностями здоровья и инвалидов, с 2015 года действует единственный за Уралом Ресурсный центр инклюзивного профессионального образования, осуществляющий деятельность на основе социального партнерства и сетевого взаимодействия.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Высшее образование</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политики Том</w:t>
      </w:r>
      <w:r>
        <w:rPr>
          <w:rFonts w:ascii="Arial" w:hAnsi="Arial" w:cs="Arial" w:eastAsia="Arial"/>
          <w:sz w:val="20"/>
          <w:szCs w:val="20"/>
          <w:lang w:val="ru-RU" w:bidi="ru-RU"/>
        </w:rPr>
        <w:t xml:space="preserve">ской области в сфере высшего образования - отработка модели интеграции образовательных организаций высшего образования и научных организаций, приводящей к повышению глубины персонализации образования и расширению присутствия Российской Федерации на глобаль</w:t>
      </w:r>
      <w:r>
        <w:rPr>
          <w:rFonts w:ascii="Arial" w:hAnsi="Arial" w:cs="Arial" w:eastAsia="Arial"/>
          <w:sz w:val="20"/>
          <w:szCs w:val="20"/>
          <w:lang w:val="ru-RU" w:bidi="ru-RU"/>
        </w:rPr>
        <w:t xml:space="preserve">ных передовых, быстро растущих научных направлениях для достижения лидерства на формирующихся рынках и создания платформы технологий, обеспечивающей стратегическую самостоятельность экономики, промышленности и технологического сектора Российской Федерации.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Система высшего образования региона традиционно занимает лидирующие места в России. Ключевыми конкурентоспособными на региональном уровне позициями по выпуску бакалавров традиционно являются инженерные направления </w:t>
      </w:r>
      <w:r>
        <w:rPr>
          <w:rFonts w:ascii="Arial" w:hAnsi="Arial" w:cs="Arial" w:eastAsia="Arial"/>
          <w:sz w:val="20"/>
          <w:szCs w:val="20"/>
          <w:lang w:val="ru-RU" w:bidi="ru-RU"/>
        </w:rPr>
        <w:t xml:space="preserve">подготовки и науки об обществе (экономика и управление, социология, юриспруденция); по выпуску специалистов - лечебное дело, педиатрия, экономическая безопасность; по выпуску магистров - строительство, электроэнергетика и электротехника, нефтегазовое дело.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является одним из ведущих российских центров э</w:t>
      </w:r>
      <w:r>
        <w:rPr>
          <w:rFonts w:ascii="Arial" w:hAnsi="Arial" w:cs="Arial" w:eastAsia="Arial"/>
          <w:sz w:val="20"/>
          <w:szCs w:val="20"/>
          <w:lang w:val="ru-RU" w:bidi="ru-RU"/>
        </w:rPr>
        <w:t xml:space="preserve">кспорта образования и готова стать пилотным регионом для отработки новой модели экспорта образования, которая позволит иностранным студентам, прошедшим обучение в российских образовательных организациях высшего образования, занять рабочие места в технологи</w:t>
      </w:r>
      <w:r>
        <w:rPr>
          <w:rFonts w:ascii="Arial" w:hAnsi="Arial" w:cs="Arial" w:eastAsia="Arial"/>
          <w:sz w:val="20"/>
          <w:szCs w:val="20"/>
          <w:lang w:val="ru-RU" w:bidi="ru-RU"/>
        </w:rPr>
        <w:t xml:space="preserve">ческом секторе Томской области и других регионов Российской Федерации. С 2010 по 2019 год численность иностранных студентов в томских образовательных организациях высшего образования увеличилась на 6790 человек (в 2,7 раза), при этом их доля составила 19%.</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 целью обучения и поддержки молодежного творчества, формирования у молодежи новых компетенций в 2019 году открыт Центр молоде</w:t>
      </w:r>
      <w:r>
        <w:rPr>
          <w:rFonts w:ascii="Arial" w:hAnsi="Arial" w:cs="Arial" w:eastAsia="Arial"/>
          <w:sz w:val="20"/>
          <w:szCs w:val="20"/>
          <w:lang w:val="ru-RU" w:bidi="ru-RU"/>
        </w:rPr>
        <w:t xml:space="preserve">жного инновационного творчества "Интеллект", осуществляющий функции создания полноценной образовательной программы по аддитивным технологиям для образовательных организаций высшего образования, техникумов, колледжей, а также для уроков технологии в школах.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Высшие учебные заведения ведут активную работу по создани</w:t>
      </w:r>
      <w:r>
        <w:rPr>
          <w:rFonts w:ascii="Arial" w:hAnsi="Arial" w:cs="Arial" w:eastAsia="Arial"/>
          <w:sz w:val="20"/>
          <w:szCs w:val="20"/>
          <w:lang w:val="ru-RU" w:bidi="ru-RU"/>
        </w:rPr>
        <w:t xml:space="preserve">ю условий для обучения людей с ограниченными возможностями здоровья. С целью распространения идей инклюзивного образования и включения лиц с ограниченными возможностями в образовательный процесс на принципах равноправия функционирует структурное подразделе</w:t>
      </w:r>
      <w:r>
        <w:rPr>
          <w:rFonts w:ascii="Arial" w:hAnsi="Arial" w:cs="Arial" w:eastAsia="Arial"/>
          <w:sz w:val="20"/>
          <w:szCs w:val="20"/>
          <w:lang w:val="ru-RU" w:bidi="ru-RU"/>
        </w:rPr>
        <w:t xml:space="preserve">ние ТУСУРа "Центр доступности образования". ТПУ реализует пилотный проект по созданию современной инклюзивной среды с помощью гранта Российского научного фонда на актуальные исследования в области адаптации студентов с ограниченными возможностями здоровья.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мероприятий, направленных на развитие дошкольного, общего и дополнительного образования, развитие инфраструктуры, развитие профессиона</w:t>
      </w:r>
      <w:r>
        <w:rPr>
          <w:rFonts w:ascii="Arial" w:hAnsi="Arial" w:cs="Arial" w:eastAsia="Arial"/>
          <w:sz w:val="20"/>
          <w:szCs w:val="20"/>
          <w:lang w:val="ru-RU" w:bidi="ru-RU"/>
        </w:rPr>
        <w:t xml:space="preserve">льного образования, в опоре на мощнейший кадровый педагогический состав, исследовательское лидерство региона в сфере гуманитарных наук, позволили Томской области стать лидером в реализации ряда инициатив и проектов федерального уровня (реализации проекта "</w:t>
      </w:r>
      <w:r>
        <w:rPr>
          <w:rFonts w:ascii="Arial" w:hAnsi="Arial" w:cs="Arial" w:eastAsia="Arial"/>
          <w:sz w:val="20"/>
          <w:szCs w:val="20"/>
          <w:lang w:val="ru-RU" w:bidi="ru-RU"/>
        </w:rPr>
        <w:t xml:space="preserve">Большой университет Томска", создание Межуниверситетского многофункционального студенческого кампуса, создание детских технопарков "Кванториум", в том числе в сфере применения цифровых технологий в образовании (Центр цифрового образования детей "IT-куб")).</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Всеобщий локдаун весны 2020 года поставил перед томской системой образования новые, радикальные вызовы, определил необходимость системной трансформации сектора знаний. Главными за</w:t>
      </w:r>
      <w:r>
        <w:rPr>
          <w:rFonts w:ascii="Arial" w:hAnsi="Arial" w:cs="Arial" w:eastAsia="Arial"/>
          <w:sz w:val="20"/>
          <w:szCs w:val="20"/>
          <w:lang w:val="ru-RU" w:bidi="ru-RU"/>
        </w:rPr>
        <w:t xml:space="preserve">дачами на сегодня являются сохранение устойчивости системы и обеспечение высокого качества подготовки. Томское образование должно сохранить и укрепить лидерство в стране в условиях новой образовательной реальности в соответствии со следующими приоритетами: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Во-пе</w:t>
      </w:r>
      <w:r>
        <w:rPr>
          <w:rFonts w:ascii="Arial" w:hAnsi="Arial" w:cs="Arial" w:eastAsia="Arial"/>
          <w:sz w:val="20"/>
          <w:szCs w:val="20"/>
          <w:lang w:val="ru-RU" w:bidi="ru-RU"/>
        </w:rPr>
        <w:t xml:space="preserve">рвых, система должна стать технологически и организационно гибкой, перейти на гибридную модель деятельности, быть готовой к оперативному переходу на дистанционную работу и обратно в случае возникновения угроз. Образовательным организациям необходимы качест</w:t>
      </w:r>
      <w:r>
        <w:rPr>
          <w:rFonts w:ascii="Arial" w:hAnsi="Arial" w:cs="Arial" w:eastAsia="Arial"/>
          <w:sz w:val="20"/>
          <w:szCs w:val="20"/>
          <w:lang w:val="ru-RU" w:bidi="ru-RU"/>
        </w:rPr>
        <w:t xml:space="preserve">венные и доступные технологические решения, требуется массовое переобучение преподавателей современным технологиям гибридного образования, адаптация участников образовательного процесса к работе в новой, очно-цифровой образовательной среде, с новыми правил</w:t>
      </w:r>
      <w:r>
        <w:rPr>
          <w:rFonts w:ascii="Arial" w:hAnsi="Arial" w:cs="Arial" w:eastAsia="Arial"/>
          <w:sz w:val="20"/>
          <w:szCs w:val="20"/>
          <w:lang w:val="ru-RU" w:bidi="ru-RU"/>
        </w:rPr>
        <w:t xml:space="preserve">ами и новыми возможностями. Необходимо переходить к обмену лучшими практиками, осуществить передачу технологий от более гибких рыночных игроков в государственные учреждения. Создать кластер новых и передовых образовательных технологий в партнерстве с ведущ</w:t>
      </w:r>
      <w:r>
        <w:rPr>
          <w:rFonts w:ascii="Arial" w:hAnsi="Arial" w:cs="Arial" w:eastAsia="Arial"/>
          <w:sz w:val="20"/>
          <w:szCs w:val="20"/>
          <w:lang w:val="ru-RU" w:bidi="ru-RU"/>
        </w:rPr>
        <w:t xml:space="preserve">ими образовательными организациями высшего образования региона (ТГУ, ТГПУ) и частными игроками рынка. Томскому образованию требуется создание полноценной цифровой образовательной системы, удобной для пользователя, методически и технологически обеспеченной.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Во-вторых, кризис продемонстрировал созависимость экономической и образовате</w:t>
      </w:r>
      <w:r>
        <w:rPr>
          <w:rFonts w:ascii="Arial" w:hAnsi="Arial" w:cs="Arial" w:eastAsia="Arial"/>
          <w:sz w:val="20"/>
          <w:szCs w:val="20"/>
          <w:lang w:val="ru-RU" w:bidi="ru-RU"/>
        </w:rPr>
        <w:t xml:space="preserve">льной системы. Быстрая переориентация отраслей на работу в дистанционных и цифровых форматах потребовала быстрого подхода к образованию в сфере новых, востребованных практических навыков, обеспечения нового уровня профессиональной подготовки. В большей сте</w:t>
      </w:r>
      <w:r>
        <w:rPr>
          <w:rFonts w:ascii="Arial" w:hAnsi="Arial" w:cs="Arial" w:eastAsia="Arial"/>
          <w:sz w:val="20"/>
          <w:szCs w:val="20"/>
          <w:lang w:val="ru-RU" w:bidi="ru-RU"/>
        </w:rPr>
        <w:t xml:space="preserve">пени это проявилось для сектора профессионального образования (СПО, бакалаврские программы ВПО, ДПО). Профессиональное образование региона должно стать еще ближе к рынку труда, сформировать единую систему эффективного обучения на протяжении жизни человека.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В-третьих, в секторе необходим пои</w:t>
      </w:r>
      <w:r>
        <w:rPr>
          <w:rFonts w:ascii="Arial" w:hAnsi="Arial" w:cs="Arial" w:eastAsia="Arial"/>
          <w:sz w:val="20"/>
          <w:szCs w:val="20"/>
          <w:lang w:val="ru-RU" w:bidi="ru-RU"/>
        </w:rPr>
        <w:t xml:space="preserve">ск новых бизнес-моделей. Необходима поддержка конкурентоспособности сектора частного образования, поддержка образовательным организациям высшего образования, которые оказались в ситуации сжатия доступного рынка экспорта. Требуется стратегический переход на</w:t>
      </w:r>
      <w:r>
        <w:rPr>
          <w:rFonts w:ascii="Arial" w:hAnsi="Arial" w:cs="Arial" w:eastAsia="Arial"/>
          <w:sz w:val="20"/>
          <w:szCs w:val="20"/>
          <w:lang w:val="ru-RU" w:bidi="ru-RU"/>
        </w:rPr>
        <w:t xml:space="preserve"> новые принципы и стандарты деятельности, в частности переустройство кампусов в новых форматах (создание модельного безопасного кампуса); создание новой продуктовой платформы в образовании, соединяющей ИТ, бизнес-аналитику пользователей, потребности рынка.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Целевой результат для системы образования к</w:t>
      </w:r>
      <w:r>
        <w:rPr>
          <w:rFonts w:ascii="Arial" w:hAnsi="Arial" w:cs="Arial" w:eastAsia="Arial"/>
          <w:sz w:val="20"/>
          <w:szCs w:val="20"/>
          <w:lang w:val="ru-RU" w:bidi="ru-RU"/>
        </w:rPr>
        <w:t xml:space="preserve"> 2030 году - школы эффективно работают в онлайн; масштабированы и внедрены в практику гибридные форматы с персональной траекторией обучения; в организациях используются полноценные ERP-системы, интегрирующие все бизнес- и операционные процессы в едином кон</w:t>
      </w:r>
      <w:r>
        <w:rPr>
          <w:rFonts w:ascii="Arial" w:hAnsi="Arial" w:cs="Arial" w:eastAsia="Arial"/>
          <w:sz w:val="20"/>
          <w:szCs w:val="20"/>
          <w:lang w:val="ru-RU" w:bidi="ru-RU"/>
        </w:rPr>
        <w:t xml:space="preserve">туре; образовательные продукты обращаются на платформе. Г. Томск может сыграть лидирующую роль в переходе образования на новую технологическую платформу, для этого потребуется стать поставщиком эффективных технологических решений и новой методической базы.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достижения целевого результата, помимо действующих в регионе мер, необходима реализация стратегической инициативы "Создание в Томской области обучающегося региона".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Стратегическая инициатива "Создание в Томской области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обучающегося региона"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Приоритетными мероприятиями развития общего образования Томской области в рамках направления до 2030 года являются: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мероприятий, направленных на системную трансформацию отрасли, в том числе переход на цифровые технологии, обеспечение индивидуализации образовательной траектории для каждого </w:t>
      </w:r>
      <w:r>
        <w:rPr>
          <w:rFonts w:ascii="Arial" w:hAnsi="Arial" w:cs="Arial" w:eastAsia="Arial"/>
          <w:sz w:val="20"/>
          <w:szCs w:val="20"/>
          <w:lang w:val="ru-RU" w:bidi="ru-RU"/>
        </w:rPr>
        <w:t xml:space="preserve">обучающегося. Школа должна стать адаптивной к быстро меняющейся внешней среде, перейти на безопасные стандарты "постковидного" мира, быть готова принять новые тенденции общественного развития, такие как тенденция диджитализации общества, в том числе детей.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педагогических коллективов, комплексное повышение квалификации в сфере современных тенденций образования и технологий, вовлечение родителей и детей в процессы построения новой модели "гибридного" образования.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передовой школьной инфраструктуры, оптимизация систем и процессов управления в рамках которой необходимо: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помимо реализации комплексного проекта "Цифровая образовательная среда", создание образовательных инфраструктурных комплексов, совмещающих возможности системы СПО, кванториумов, школ и лицеев области, развитие сети Точек роста;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модернизация системы ранней профессиональной ориентации детей, системы выявления и поддер</w:t>
      </w:r>
      <w:r>
        <w:rPr>
          <w:rFonts w:ascii="Arial" w:hAnsi="Arial" w:cs="Arial" w:eastAsia="Arial"/>
          <w:sz w:val="20"/>
          <w:szCs w:val="20"/>
          <w:lang w:val="ru-RU" w:bidi="ru-RU"/>
        </w:rPr>
        <w:t xml:space="preserve">жки талантов, в том числе с использованием эффективных современных форматов ("билет в будущее" и др.), с обязательным вовлечением в процесс образовательных организаций высшего образования, ведущих работодателей, технологических компаний и предпринимателей.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Обновление материальной базы в малокомплектных школах, школах в удаленных территориях и поселк</w:t>
      </w:r>
      <w:r>
        <w:rPr>
          <w:rFonts w:ascii="Arial" w:hAnsi="Arial" w:cs="Arial" w:eastAsia="Arial"/>
          <w:sz w:val="20"/>
          <w:szCs w:val="20"/>
          <w:lang w:val="ru-RU" w:bidi="ru-RU"/>
        </w:rPr>
        <w:t xml:space="preserve">ах. Развитие передовых, технологически продвинутых площадок - центров коллективного доступа, что позволит дать доступ каждому ребенку к современным технологиям. Широкое применение дистанционных образовательных технологий, технологий "перевернутых классов".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роста качества образования, а также удовлетворенности жителей качеством всего спектра предоставляемых на базе школ услуг в каждом муниципальном образовании: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Томская школа - культурный и общественный центр жизни, определяющий привлекател</w:t>
      </w:r>
      <w:r>
        <w:rPr>
          <w:rFonts w:ascii="Arial" w:hAnsi="Arial" w:cs="Arial" w:eastAsia="Arial"/>
          <w:sz w:val="20"/>
          <w:szCs w:val="20"/>
          <w:lang w:val="ru-RU" w:bidi="ru-RU"/>
        </w:rPr>
        <w:t xml:space="preserve">ьность для жизни малых городов и населенных пунктов области. Необходимо полностью реализовать культурную и социальную миссию школы, сделать ее центром формирования гармоничной и современной личности. Особое внимание должно быть уделено внеклассной работе и</w:t>
      </w:r>
      <w:r>
        <w:rPr>
          <w:rFonts w:ascii="Arial" w:hAnsi="Arial" w:cs="Arial" w:eastAsia="Arial"/>
          <w:sz w:val="20"/>
          <w:szCs w:val="20"/>
          <w:lang w:val="ru-RU" w:bidi="ru-RU"/>
        </w:rPr>
        <w:t xml:space="preserve"> деятельности творческих студий. Будет обеспечено повышение доступности дополнительного образования, в том числе модернизация системы дополнительного образования в государственном и частном секторе, масштабирование системы детского технопарка "Кванториум".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Школа - центр воспитания общества. На базе районных школ необходима реализация массовых культурных мероприятий для семей с детьми и молодежи. Особое внимание необх</w:t>
      </w:r>
      <w:r>
        <w:rPr>
          <w:rFonts w:ascii="Arial" w:hAnsi="Arial" w:cs="Arial" w:eastAsia="Arial"/>
          <w:sz w:val="20"/>
          <w:szCs w:val="20"/>
          <w:lang w:val="ru-RU" w:bidi="ru-RU"/>
        </w:rPr>
        <w:t xml:space="preserve">одимо уделить спортивным, экологическим и социально ориентированным мероприятиям, проектам в сфере городской среды и культуры, поддержке краеведческих встреч и работе местных сообществ. Сквозным направлением становится гражданско-патриотическое воспитание.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Школа - районный центр инноваций, создания и примен</w:t>
      </w:r>
      <w:r>
        <w:rPr>
          <w:rFonts w:ascii="Arial" w:hAnsi="Arial" w:cs="Arial" w:eastAsia="Arial"/>
          <w:sz w:val="20"/>
          <w:szCs w:val="20"/>
          <w:lang w:val="ru-RU" w:bidi="ru-RU"/>
        </w:rPr>
        <w:t xml:space="preserve">ения новых педагогических технологий. Коллективы муниципальных школ должны владеть наиболее передовыми педагогическими методиками и подходами. В формате "лабораторий передовых образовательных технологий" реализовывать инновационные образовательные проекты.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перехода на здоровое и качественное школьное питание, снижающее риски появления заболеваний в будущем. Поддержка реализации экспериментальных научных проектов в сфере активного долголетия, питания детей, раннего выявлени</w:t>
      </w:r>
      <w:r>
        <w:rPr>
          <w:rFonts w:ascii="Arial" w:hAnsi="Arial" w:cs="Arial" w:eastAsia="Arial"/>
          <w:sz w:val="20"/>
          <w:szCs w:val="20"/>
          <w:lang w:val="ru-RU" w:bidi="ru-RU"/>
        </w:rPr>
        <w:t xml:space="preserve">я рисков алиментарных нарушений. Проект здорового школьного питания должен быть реализован с ведущими агропромышленными предприятиями, производителями экологических и органических продуктов, а также с участием научных коллективов и профильных специалистов.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Продолжение реализации мероприят</w:t>
      </w:r>
      <w:r>
        <w:rPr>
          <w:rFonts w:ascii="Arial" w:hAnsi="Arial" w:cs="Arial" w:eastAsia="Arial"/>
          <w:sz w:val="20"/>
          <w:szCs w:val="20"/>
          <w:lang w:val="ru-RU" w:bidi="ru-RU"/>
        </w:rPr>
        <w:t xml:space="preserve">ий, направленных на разработку и распространение практик инклюзивного образования и развитие инклюзивной среды для всех обучающихся, независимо от их физических, интеллектуальных, социальных, эмоциональных и других особенностей, в сфере общего образования.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Приоритетными мероприятиями развития среднего профессионального и высшего образования Томской области в рамках направления до 2030 года являются: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Внедрение новых федеральных государственных образовательных стандартов типа "цифровой колледж", "безопасный кампус" в соответс</w:t>
      </w:r>
      <w:r>
        <w:rPr>
          <w:rFonts w:ascii="Arial" w:hAnsi="Arial" w:cs="Arial" w:eastAsia="Arial"/>
          <w:sz w:val="20"/>
          <w:szCs w:val="20"/>
          <w:lang w:val="ru-RU" w:bidi="ru-RU"/>
        </w:rPr>
        <w:t xml:space="preserve">твии с международными критериями, совместно с федеральными органами исполнительной власти. Поиск и применение массовых и экономически эффективных решений по адаптации образовательной среды к новым экономическим и социальным условиям цифровой трансформации.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регионального экспертного центра (центра компетенций) по модернизации регионального образования с целью обмена практиками, ускоренной технологической модернизации, создания новых бизнес-моделей в образовании.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мероприятий, направленных на проведение мониторинга состоя</w:t>
      </w:r>
      <w:r>
        <w:rPr>
          <w:rFonts w:ascii="Arial" w:hAnsi="Arial" w:cs="Arial" w:eastAsia="Arial"/>
          <w:sz w:val="20"/>
          <w:szCs w:val="20"/>
          <w:lang w:val="ru-RU" w:bidi="ru-RU"/>
        </w:rPr>
        <w:t xml:space="preserve">ния и развитие конкуренции на товарных рынках в сфере негосударственного сектора образования среди субъектов малого и среднего предпринимательства, индивидуальных предпринимателей, в том числе разрабатывающих и применяющих новые образовательные технологии.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совместимых платформенных решений, обеспечивающих развитие продуктов дистанционного и гибридного образования формата "Lifelong learning".</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целевых программных решений по переходу колледжей и бакалавриата на передовые практико-ориентированные форматы подготовки, в том числе совместно с федеральными о</w:t>
      </w:r>
      <w:r>
        <w:rPr>
          <w:rFonts w:ascii="Arial" w:hAnsi="Arial" w:cs="Arial" w:eastAsia="Arial"/>
          <w:sz w:val="20"/>
          <w:szCs w:val="20"/>
          <w:lang w:val="ru-RU" w:bidi="ru-RU"/>
        </w:rPr>
        <w:t xml:space="preserve">рганами исполнительной власти и институтами развития (например, Агентство "Молодые профессионалы), ориентация всех программ на работу с рынком труда и постоянно меняющимися потребностями работодателей. Поддержка создания региональной сети "учебных фабрик".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и отработка модели территориальной интеграции научно-образовательного комплекса "Большой Томский университет", реализации пилотных проектов и инициатив.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Межуниверситетского многофункционального студенческого кампуса на левом берегу реки Томи - территории генерации знаний, объединяющих общеж</w:t>
      </w:r>
      <w:r>
        <w:rPr>
          <w:rFonts w:ascii="Arial" w:hAnsi="Arial" w:cs="Arial" w:eastAsia="Arial"/>
          <w:sz w:val="20"/>
          <w:szCs w:val="20"/>
          <w:lang w:val="ru-RU" w:bidi="ru-RU"/>
        </w:rPr>
        <w:t xml:space="preserve">ития для 10 тысяч иностранных студентов, центры разработок крупных индустриальных партнеров, исследовательские лаборатории образовательных организаций высшего образования и академических научных организаций, среду для креативных индустрий и малого бизнеса.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Продолжение реализации мероприятий, направленных на разработку</w:t>
      </w:r>
      <w:r>
        <w:rPr>
          <w:rFonts w:ascii="Arial" w:hAnsi="Arial" w:cs="Arial" w:eastAsia="Arial"/>
          <w:sz w:val="20"/>
          <w:szCs w:val="20"/>
          <w:lang w:val="ru-RU" w:bidi="ru-RU"/>
        </w:rPr>
        <w:t xml:space="preserve"> и распространение практик инклюзивного образования и развитие инклюзивной среды для всех обучающихся независимо от их физических, интеллектуальных, социальных, эмоциональных и других особенностей, в сферах среднего профессионального и высшего образования.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Продолжение реализации мероприятий, направленных на обеспечение доступности общежитий и аудиторного фонда в учреждениях общего, среднего профессионального и высшего образования.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 результатам реализации мероприятий в рамках настоящей задачи в Томской области будет сформирована гибкая система образования, способная быстро адаптироваться, сохранять устойчивость, эффективно использо</w:t>
      </w:r>
      <w:r>
        <w:rPr>
          <w:rFonts w:ascii="Arial" w:hAnsi="Arial" w:cs="Arial" w:eastAsia="Arial"/>
          <w:sz w:val="20"/>
          <w:szCs w:val="20"/>
          <w:lang w:val="ru-RU" w:bidi="ru-RU"/>
        </w:rPr>
        <w:t xml:space="preserve">вать новые технологии, в том числе цифровые, и за счет этого обеспечивать возможности для обучения всех категорий граждан в течение всей жизни. Так, Томская область сохранит позиции одного из национальных лидеров в сфере образования в долгосрочном периоде.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Индикаторами выполнения задачи станут рост обеспеченности детей дошкольного возраста местами в дошкольных образовательных организациях с 720 мест на 1000 дет</w:t>
      </w:r>
      <w:r>
        <w:rPr>
          <w:rFonts w:ascii="Arial" w:hAnsi="Arial" w:cs="Arial" w:eastAsia="Arial"/>
          <w:sz w:val="20"/>
          <w:szCs w:val="20"/>
          <w:lang w:val="ru-RU" w:bidi="ru-RU"/>
        </w:rPr>
        <w:t xml:space="preserve">ей в 2020 г. до 801 места на 1000 детей в 2030 г., рост доли детей в возрасте от 5 до 18 лет, охваченных услугами дополнительного образования, на 48,62% к 2030 году по отношению к уровню 2020 г., рост уровня образования с 60,3% в 2020 г. до 62,2% в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3.3. Содействовать развитию строительного комплекса,</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повышению качества жилищных условий, доступности жилья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качества городской среды</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Строительная отрасль Томской области является локомотивом развития смежных отраслей, а также носит стратегический обеспечивающий характер для други</w:t>
      </w:r>
      <w:r>
        <w:rPr>
          <w:rFonts w:ascii="Arial" w:hAnsi="Arial" w:cs="Arial" w:eastAsia="Arial"/>
          <w:sz w:val="20"/>
          <w:szCs w:val="20"/>
          <w:lang w:val="ru-RU" w:bidi="ru-RU"/>
        </w:rPr>
        <w:t xml:space="preserve">х секторов экономики региона. В фокусе региональной политики - обеспечение населения качественным и доступным жильем и современной недвижимостью, в том числе деловой, спортивной; решение проблем в сфере ветхого и аварийного жилья и ускорение темпов расселе</w:t>
      </w:r>
      <w:r>
        <w:rPr>
          <w:rFonts w:ascii="Arial" w:hAnsi="Arial" w:cs="Arial" w:eastAsia="Arial"/>
          <w:sz w:val="20"/>
          <w:szCs w:val="20"/>
          <w:lang w:val="ru-RU" w:bidi="ru-RU"/>
        </w:rPr>
        <w:t xml:space="preserve">ния жильцов ветхого жилья; стимулирование развития новых технологий и поддержка местного бизнеса в переходе на новую технологическую базу на всех стадиях жизненного цикла строительных объектов, позволяющую качественно и в срок вводить строительные объекты.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Также ключевой задачей развития сектора является формировани</w:t>
      </w:r>
      <w:r>
        <w:rPr>
          <w:rFonts w:ascii="Arial" w:hAnsi="Arial" w:cs="Arial" w:eastAsia="Arial"/>
          <w:sz w:val="20"/>
          <w:szCs w:val="20"/>
          <w:lang w:val="ru-RU" w:bidi="ru-RU"/>
        </w:rPr>
        <w:t xml:space="preserve">е и реализация мер поддержки для расширения применения новых подходов в сфере жилищного строительства, позволяющих осуществить переход на новые требования и стандарты проектирования, строительства и девелопмента, комплексного развития территорий. Жилищное </w:t>
      </w:r>
      <w:r>
        <w:rPr>
          <w:rFonts w:ascii="Arial" w:hAnsi="Arial" w:cs="Arial" w:eastAsia="Arial"/>
          <w:sz w:val="20"/>
          <w:szCs w:val="20"/>
          <w:lang w:val="ru-RU" w:bidi="ru-RU"/>
        </w:rPr>
        <w:t xml:space="preserve">строительство должно осуществляться с учетом мероприятий по обеспечению населения объектами социально-культурного назначения (школы, детские дошкольные учреждения, объекты здравоохранения, спорта и т.д.), развитию коммунальной и транспортной инфраструктур.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мероприятий, нап</w:t>
      </w:r>
      <w:r>
        <w:rPr>
          <w:rFonts w:ascii="Arial" w:hAnsi="Arial" w:cs="Arial" w:eastAsia="Arial"/>
          <w:sz w:val="20"/>
          <w:szCs w:val="20"/>
          <w:lang w:val="ru-RU" w:bidi="ru-RU"/>
        </w:rPr>
        <w:t xml:space="preserve">равленных на оказание государственной поддержки по улучшению жилищных условий отдельных категорий граждан, обеспечению доступности и комфортности жилища, формированию качественной жилой среды, стимулированию развития жилищного строительства, способствует п</w:t>
      </w:r>
      <w:r>
        <w:rPr>
          <w:rFonts w:ascii="Arial" w:hAnsi="Arial" w:cs="Arial" w:eastAsia="Arial"/>
          <w:sz w:val="20"/>
          <w:szCs w:val="20"/>
          <w:lang w:val="ru-RU" w:bidi="ru-RU"/>
        </w:rPr>
        <w:t xml:space="preserve">оложительной динамике по большинству показателей строительного комплекса, включая рост объемов работ, инвестиций в сектор. Кроме того, в регионе улучшается индекс доступности жилья, на муниципальном уровне растет качество благоустройства и городской среды.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Большая часть населения, экономической и финансовой активности Томско</w:t>
      </w:r>
      <w:r>
        <w:rPr>
          <w:rFonts w:ascii="Arial" w:hAnsi="Arial" w:cs="Arial" w:eastAsia="Arial"/>
          <w:sz w:val="20"/>
          <w:szCs w:val="20"/>
          <w:lang w:val="ru-RU" w:bidi="ru-RU"/>
        </w:rPr>
        <w:t xml:space="preserve">й области сосредоточена в городах, и именно качественная городская среда является одним из ключевых критериев конкурентоспособности региона. По индексу качества городской среды регион занимает средние позиции среди регионов СФО. На сегодняшний день городск</w:t>
      </w:r>
      <w:r>
        <w:rPr>
          <w:rFonts w:ascii="Arial" w:hAnsi="Arial" w:cs="Arial" w:eastAsia="Arial"/>
          <w:sz w:val="20"/>
          <w:szCs w:val="20"/>
          <w:lang w:val="ru-RU" w:bidi="ru-RU"/>
        </w:rPr>
        <w:t xml:space="preserve">ая среда г. Томска обеспечивает большинство форм проведения досуга, если сравнить наиболее популярные типы активностей и категории мест в крупнейших городах СФО (включая объекты культуры и спорта, спортивные площадки, стадионы, кафе и рестораны, магазины).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Достижение целей по расселению жителей из аварийного жилья и обеспечению их комфортным и доступным жильем на территории Томской области будет реализовано в том числе за счет: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комплексного многоэтажного, малоэтажного и индивидуального жилищного строительства на территории Томской агломерации;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применения механизма комплексного развития территории (КРТ), в том числе в границах исторического поселения федерального значения областного центра и использования территорий бывших промышленных предприятий;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финансирования строительства жилья в рамках госпрограммам через систему государственного заказчика (ОГКУ "Облстройзаказчик").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Достижение целей по стимулированию жилищного строительства на территории Томской области будет реализовано за счет следующих мероприятий: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земельных участков, предназначенных для жилищного строительства инженерной и социальной инфраструктурой;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комплексное освоение территорий в целях жилищного строительства;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проекта "Губернаторская ипотека" на территории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Инструментом обеспечения населения доступным комфортным жильем станет реализация жилищных программ на территории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модернизация строительной отрасли Томской области и повышение качества индустриального жилищного строительства;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улучшение жилищных условий с использованием механизмов ипотечного кредитования;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эффективного использования земель в целях массового жилищного строительства.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проектов по городскому благоустройству будет соп</w:t>
      </w:r>
      <w:r>
        <w:rPr>
          <w:rFonts w:ascii="Arial" w:hAnsi="Arial" w:cs="Arial" w:eastAsia="Arial"/>
          <w:sz w:val="20"/>
          <w:szCs w:val="20"/>
          <w:lang w:val="ru-RU" w:bidi="ru-RU"/>
        </w:rPr>
        <w:t xml:space="preserve">ровождаться вовлечением жителей Томской области в мероприятия по развитию городской среды. Продолжит развитие институт волонтеров в сфере преобразования городских пространств, координацию которых осуществляет Центр развития городской среды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Однако для укрепления привлекательности региона для жизни потребуется дополнительный комплекс мероприятий. В Томской области необходимо создать устойчиво развивающийся современный строительный кластер, модернизировать сферу го</w:t>
      </w:r>
      <w:r>
        <w:rPr>
          <w:rFonts w:ascii="Arial" w:hAnsi="Arial" w:cs="Arial" w:eastAsia="Arial"/>
          <w:sz w:val="20"/>
          <w:szCs w:val="20"/>
          <w:lang w:val="ru-RU" w:bidi="ru-RU"/>
        </w:rPr>
        <w:t xml:space="preserve">родского хозяйства на основе передовых технологических решений, перейти к новым форматам рынка девелопмента, прежде всего привлекательных для молодежи. Формирование качественной городской среды должно быть основано на применении стандартов "умного города".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Необходима реализация дополнительных направлений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инновационного строительного кластера;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качественное обновление рынка городской недвижимости;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современный городской дизайн, охватывающий территорию всей Томской области (создание современной урбанистической среды).</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Создание инновационного строительного кластера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 2021 года началось медленное восстановление строительного сектора Томской о</w:t>
      </w:r>
      <w:r>
        <w:rPr>
          <w:rFonts w:ascii="Arial" w:hAnsi="Arial" w:cs="Arial" w:eastAsia="Arial"/>
          <w:sz w:val="20"/>
          <w:szCs w:val="20"/>
          <w:lang w:val="ru-RU" w:bidi="ru-RU"/>
        </w:rPr>
        <w:t xml:space="preserve">бласти после существенного сжатия и перебоев в цепочках поставок с весны 2020 года. Факторами, сдерживающими восстановление сектора, являются: недостаток ресурсов в связи с переходом на режимы проектного финансирования, дефицит земельных ресурсов и качеств</w:t>
      </w:r>
      <w:r>
        <w:rPr>
          <w:rFonts w:ascii="Arial" w:hAnsi="Arial" w:cs="Arial" w:eastAsia="Arial"/>
          <w:sz w:val="20"/>
          <w:szCs w:val="20"/>
          <w:lang w:val="ru-RU" w:bidi="ru-RU"/>
        </w:rPr>
        <w:t xml:space="preserve">енных современных местных стройматериалов, низкий уровень технологической оснащенности, слабая конкуренция со стороны местных компаний, инфраструктурные барьеры. Восстановление в дальнейшем будет поддержано за счет расширения механизмов ипотечных программ.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Однако даже если меры по поддержке строительства будут сохраняться, в долгосрочной перспективе сектору нужна системная модернизация, пе</w:t>
      </w:r>
      <w:r>
        <w:rPr>
          <w:rFonts w:ascii="Arial" w:hAnsi="Arial" w:cs="Arial" w:eastAsia="Arial"/>
          <w:sz w:val="20"/>
          <w:szCs w:val="20"/>
          <w:lang w:val="ru-RU" w:bidi="ru-RU"/>
        </w:rPr>
        <w:t xml:space="preserve">реход на принципиально новое качество строительства со снижением затрат и ростом эффективности (производительности труда, уровня технологической оснащенности, себестоимости проектов, прибыльности). Необходимо обеспечить приток новых ресурсов и компетенций.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Необходима ускоренная технологическая модернизация строительства, переход строительного сектора на новую бизнес-платформу, ключевыми компонентами которой станут: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Сквозная ци</w:t>
      </w:r>
      <w:r>
        <w:rPr>
          <w:rFonts w:ascii="Arial" w:hAnsi="Arial" w:cs="Arial" w:eastAsia="Arial"/>
          <w:sz w:val="20"/>
          <w:szCs w:val="20"/>
          <w:lang w:val="ru-RU" w:bidi="ru-RU"/>
        </w:rPr>
        <w:t xml:space="preserve">фровизация бизнеса, внедрение BIM- и CRM-систем, а также систем удаленного мониторинга площадки, переход к удаленному снабжению, что приведет к экономии на стадии проектирования, планирования, управления, обеспечит быстрый перевод в онлайн системы закупок.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центра новых BIM-технологий, совмещающего деятельность по проектированию и решению прикладных задач с образовательной деятельностью и подготовкой специалистов в области дизайна, архитектуры и строительства, а также проведения проектных работ.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инструментов и технологий, обеспечивающих комплексное территориальное планирование на базе геоинформационных систем за счет создания специализированного регионального института территориального планирования.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Переход на модульное и "сухое" строительство на площадке, что сокращает срок строительства, увеличивает производительность труда, снижает долю брака.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Применение безлюдных, роботизированных технологий строительства, востребованных на удаленных и слабозаселенных территориях.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Строительство "устойчивых" зданий и проектов "здоровой" жизни в соответствии с актуальными потребительскими предпочтениями.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Использование приложений для проверки здоровья персонала. В связи с недост</w:t>
      </w:r>
      <w:r>
        <w:rPr>
          <w:rFonts w:ascii="Arial" w:hAnsi="Arial" w:cs="Arial" w:eastAsia="Arial"/>
          <w:sz w:val="20"/>
          <w:szCs w:val="20"/>
          <w:lang w:val="ru-RU" w:bidi="ru-RU"/>
        </w:rPr>
        <w:t xml:space="preserve">аточностью ресурсов регионального бизнеса для проведения модернизации сектора в указанных форматах необходимо создание инновационного строительного кластера, объединяющего усилия ведущих региональных игроков, обеспечивающего обучение, обмен технологиями и </w:t>
      </w:r>
      <w:r>
        <w:rPr>
          <w:rFonts w:ascii="Arial" w:hAnsi="Arial" w:cs="Arial" w:eastAsia="Arial"/>
          <w:sz w:val="20"/>
          <w:szCs w:val="20"/>
          <w:lang w:val="ru-RU" w:bidi="ru-RU"/>
        </w:rPr>
        <w:t xml:space="preserve">успешными практиками с участниками аналогичных инновационных строительных кластеров из других регионов. Кластер станет центром реализации новых разработок, исследований, демонстрационных проектов и обеспечит развитие молодых компаний с новыми технологиями.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технолог</w:t>
      </w:r>
      <w:r>
        <w:rPr>
          <w:rFonts w:ascii="Arial" w:hAnsi="Arial" w:cs="Arial" w:eastAsia="Arial"/>
          <w:sz w:val="20"/>
          <w:szCs w:val="20"/>
          <w:lang w:val="ru-RU" w:bidi="ru-RU"/>
        </w:rPr>
        <w:t xml:space="preserve">ического и кадрового обеспечения перехода бизнеса на новую платформу планируется совместно с профильной образовательной организацией высшего образования - ТГАСУ - реализовать комплекс мероприятий, включающий: создание инжинирингового центра, инкубатора и а</w:t>
      </w:r>
      <w:r>
        <w:rPr>
          <w:rFonts w:ascii="Arial" w:hAnsi="Arial" w:cs="Arial" w:eastAsia="Arial"/>
          <w:sz w:val="20"/>
          <w:szCs w:val="20"/>
          <w:lang w:val="ru-RU" w:bidi="ru-RU"/>
        </w:rPr>
        <w:t xml:space="preserve">кселератора строительных стартапов, реализацию инновационных образовательных программ, поддержку создания центра передовых строительных технологий, реализацию деловой программы в "Точке кипения" для участников сектора по передовым строительным технологиям.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Необходимо поддержать создание системы деловой кооперации в масштабах рынков Сибири: обеспечить региональный маркетинг, участие в строительных консорциумах с лидирующими девелоперскими компаниями округа.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Консолидация участников инновационного строительного кластера может быть достигнута за сче</w:t>
      </w:r>
      <w:r>
        <w:rPr>
          <w:rFonts w:ascii="Arial" w:hAnsi="Arial" w:cs="Arial" w:eastAsia="Arial"/>
          <w:sz w:val="20"/>
          <w:szCs w:val="20"/>
          <w:lang w:val="ru-RU" w:bidi="ru-RU"/>
        </w:rPr>
        <w:t xml:space="preserve">т участия в стратегических проектах, реализуемых в Томской области и значимых на уровне страны. Таким проектом может стать создание межуниверситетского кампуса как имиджевого, построенного с применением передовых строительных технологий и новых материалов.</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Качественное обновление рынка городской недвижимости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настоящий момент на рынке жилищ</w:t>
      </w:r>
      <w:r>
        <w:rPr>
          <w:rFonts w:ascii="Arial" w:hAnsi="Arial" w:cs="Arial" w:eastAsia="Arial"/>
          <w:sz w:val="20"/>
          <w:szCs w:val="20"/>
          <w:lang w:val="ru-RU" w:bidi="ru-RU"/>
        </w:rPr>
        <w:t xml:space="preserve">ного строительства у населения растет запрос на качественное жилье и городскую среду. Необходимо ликвидировать отставание от других городов СФО по качеству, разнообразию и форматам недвижимости. В городе должны возникнуть современные в архитектурном и техн</w:t>
      </w:r>
      <w:r>
        <w:rPr>
          <w:rFonts w:ascii="Arial" w:hAnsi="Arial" w:cs="Arial" w:eastAsia="Arial"/>
          <w:sz w:val="20"/>
          <w:szCs w:val="20"/>
          <w:lang w:val="ru-RU" w:bidi="ru-RU"/>
        </w:rPr>
        <w:t xml:space="preserve">ологическом плане объекты, привлекательные прежде всего для молодежи. Необходимо поддержать приход в регион начинающих архитектурно-строительных компаний, реализующих амбициозные проекты. В рамках решения этой задачи приоритетными мероприятиями становятся: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комплексного индивидуального жилищного строительства с применением высококачественных строитель</w:t>
      </w:r>
      <w:r>
        <w:rPr>
          <w:rFonts w:ascii="Arial" w:hAnsi="Arial" w:cs="Arial" w:eastAsia="Arial"/>
          <w:sz w:val="20"/>
          <w:szCs w:val="20"/>
          <w:lang w:val="ru-RU" w:bidi="ru-RU"/>
        </w:rPr>
        <w:t xml:space="preserve">ных материалов и переходом на современные экологические стандарты, включая развитие сопутствующей инфраструктуры (социальной, инженерной, транспортной). Потребуется обеспечение инструментов поддержки жителей, заинтересованных в приобретении готового жилья.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(субсидии, льготы) реализации модельных архитектурных проектов, в том числе в сфере применения передовых архитектурных решений и новых строительных технологий, цифровизации, модульного домостроения, роботизированных решений, умных систем.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пилотных и демонстрационных проектов, конкурсов для молодых</w:t>
      </w:r>
      <w:r>
        <w:rPr>
          <w:rFonts w:ascii="Arial" w:hAnsi="Arial" w:cs="Arial" w:eastAsia="Arial"/>
          <w:sz w:val="20"/>
          <w:szCs w:val="20"/>
          <w:lang w:val="ru-RU" w:bidi="ru-RU"/>
        </w:rPr>
        <w:t xml:space="preserve"> строительных и архитектурных команд с федеральными институтами развития: "Архитекторы.РФ", совместно с ВЭБ.РФ. Создание силами молодых команд модельных проектов в сфере развития основных рынков: "модельный магазин", "модельный дом", "модельный коворкинг".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кадровых проектов в сфере строительных навыков будущего, проектирования новых форматов и управления в сфере недвижимости совместно с девелоперскими компаниями города, агентством "Молодые профессионалы".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новых форматов управления недвижимостью, развитие рынка арендного жилья, жилищных некоммерческих объединений граждан.</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Современный городской дизайн, охватывающий территорию всей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Томской области (создание современной урбанистической среды)</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Развитие городской среды должно затрагивать всю территорию Томской области с распространением форматов, применимых в зависимости от особенностей и потенциала развития каждой территории: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Томская агломерация, включающая Томск, Северск и Томский район, - с точки зрения городской среды должна развиваться, в первую очередь поддерживая статус образовательного и делового центра.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Остальные муниципальные образования, помимо Томской агломерации, должны развиваться как центры притяжения квалифицированных производственных кадров, территории, комфортные для жизни и насыщенные разными формами проведения досуга.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создания городского тво</w:t>
      </w:r>
      <w:r>
        <w:rPr>
          <w:rFonts w:ascii="Arial" w:hAnsi="Arial" w:cs="Arial" w:eastAsia="Arial"/>
          <w:sz w:val="20"/>
          <w:szCs w:val="20"/>
          <w:lang w:val="ru-RU" w:bidi="ru-RU"/>
        </w:rPr>
        <w:t xml:space="preserve">рческого района в г. Томске (креативного квартала), включая объекты общественных пространств и досуговой инфраструктуры для молодежи. Развитие открытых общественных пространств, "третьих мест" для досуга на свежем воздухе, организации массовых мероприятий.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программы нового городского дизайна во всех населенных пунктах региона, который обеспечит переход к "здоровым" улицам, зданиям, помещениям, продуктам и видам социальной активности.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Принятие на уровне требований к градостроительной док</w:t>
      </w:r>
      <w:r>
        <w:rPr>
          <w:rFonts w:ascii="Arial" w:hAnsi="Arial" w:cs="Arial" w:eastAsia="Arial"/>
          <w:sz w:val="20"/>
          <w:szCs w:val="20"/>
          <w:lang w:val="ru-RU" w:bidi="ru-RU"/>
        </w:rPr>
        <w:t xml:space="preserve">ументации принципов ландшафтного, архитектурного, "зеленого" дизайна, удобной логистики и навигации. Пересмотр требований к организации дворовых пространств, транзитных улиц и переходов, внедрение двуязычной навигации улиц (на русском и английском языках).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на территории всего региона социально ориентированных объектов и пространств на уровне микрорайонов с пешеходной доступностью, в том числе для "постковидной</w:t>
      </w:r>
      <w:r>
        <w:rPr>
          <w:rFonts w:ascii="Arial" w:hAnsi="Arial" w:cs="Arial" w:eastAsia="Arial"/>
          <w:sz w:val="20"/>
          <w:szCs w:val="20"/>
          <w:lang w:val="ru-RU" w:bidi="ru-RU"/>
        </w:rPr>
        <w:t xml:space="preserve">" реабилитации вне дома, включая парковые зоны для прогулок, в том числе с выделением времени для посещения только пожилых людей; территории для уличного спорта; территории для активной деятельности, в том числе для пожилых; маршруты для прогулок с детьми.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мероприятий, направленных на развитие инклюзивной городской среды, удовлетворяющей потребности максимально широкого круга возможных пользователей независимо от физических возможностей, социального, имущественного или иного статуса.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Перевод социальных объектов, объектов культуры и городской среды на принципы постковидного безопасного дизайна.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Осуществление мероприятий, направленных на решение задачи, позволит создать условия для обеспечения качественной жизни, включающие современное доступное жилье и жилищную инфраструктуру, что будет выражаться в росте количества сем</w:t>
      </w:r>
      <w:r>
        <w:rPr>
          <w:rFonts w:ascii="Arial" w:hAnsi="Arial" w:cs="Arial" w:eastAsia="Arial"/>
          <w:sz w:val="20"/>
          <w:szCs w:val="20"/>
          <w:lang w:val="ru-RU" w:bidi="ru-RU"/>
        </w:rPr>
        <w:t xml:space="preserve">ей, улучшивших свои жилищные условия, с 26,5 тыс. в 2020 г. до 38,0 тыс. в 2030 г., увеличении объема жилищного строительства на 93,36% к 2030 г. по отношению к уровню 2020 г. и приросту индекса качества городской среды с 4% в 2020 году до 54% в 2030 году.</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3.4. Обеспечить повышение</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безопасности жизнедеятельности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политики Томской области - формирование условий, направленных на обеспечение общественной безопасности и защ</w:t>
      </w:r>
      <w:r>
        <w:rPr>
          <w:rFonts w:ascii="Arial" w:hAnsi="Arial" w:cs="Arial" w:eastAsia="Arial"/>
          <w:sz w:val="20"/>
          <w:szCs w:val="20"/>
          <w:lang w:val="ru-RU" w:bidi="ru-RU"/>
        </w:rPr>
        <w:t xml:space="preserve">иту жителей Томской области от чрезвычайных ситуаций. Коллективное и индивидуальное чувство безопасности на территории Томской области является одним из ключевых требований, предъявляемых жителями и гостями региона для жизни, отдыха и работы на территории.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 территории Томской области наблюдается около 20 видов опасных природны</w:t>
      </w:r>
      <w:r>
        <w:rPr>
          <w:rFonts w:ascii="Arial" w:hAnsi="Arial" w:cs="Arial" w:eastAsia="Arial"/>
          <w:sz w:val="20"/>
          <w:szCs w:val="20"/>
          <w:lang w:val="ru-RU" w:bidi="ru-RU"/>
        </w:rPr>
        <w:t xml:space="preserve">х явлений. В зону подтопления попадает более 80 населенных пунктов. Происходит в среднем 181 лесной пожар в год, выгорает до 6,6 тыс. га леса. Из-за опасных экзогенных геологических процессов происходит или возникает угроза разрушения капитальных построек.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Благодаря реализ</w:t>
      </w:r>
      <w:r>
        <w:rPr>
          <w:rFonts w:ascii="Arial" w:hAnsi="Arial" w:cs="Arial" w:eastAsia="Arial"/>
          <w:sz w:val="20"/>
          <w:szCs w:val="20"/>
          <w:lang w:val="ru-RU" w:bidi="ru-RU"/>
        </w:rPr>
        <w:t xml:space="preserve">уемым регионом мероприятиям ежегодно повышается безопасность жизнедеятельности населения Томской области, снижается преступность, смертность от дорожно-транспортных происшествий, количество населения, погибшего или пострадавшего при чрезвычайных ситуациях.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Ключевой задачей до 2030 года является создание комфортной и безопасной среды во всех населенных пунктах Томской области, в том числе за счет соверше</w:t>
      </w:r>
      <w:r>
        <w:rPr>
          <w:rFonts w:ascii="Arial" w:hAnsi="Arial" w:cs="Arial" w:eastAsia="Arial"/>
          <w:sz w:val="20"/>
          <w:szCs w:val="20"/>
          <w:lang w:val="ru-RU" w:bidi="ru-RU"/>
        </w:rPr>
        <w:t xml:space="preserve">нствования охраны общественного порядка, формирования системы стратегических мер, направленных на повышение уровня защиты жителей Томской области от чрезвычайных ситуаций природного и техногенного характера, снижения риска чрезвычайных ситуаций и обеспечен</w:t>
      </w:r>
      <w:r>
        <w:rPr>
          <w:rFonts w:ascii="Arial" w:hAnsi="Arial" w:cs="Arial" w:eastAsia="Arial"/>
          <w:sz w:val="20"/>
          <w:szCs w:val="20"/>
          <w:lang w:val="ru-RU" w:bidi="ru-RU"/>
        </w:rPr>
        <w:t xml:space="preserve">ия максимальной готовности к ликвидации их последствий. В то же время в современных условиях охрана жизнедеятельности населения дополняется приоритетами по защите населения в сферах информационной, экологической и санитарно-эпидемиологической безопасности.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 по обеспечению законности, правопорядка и общественной безопасности: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Дальнейшее развитие аппаратно-программного комплекса "Безопасный город", масштабирование внедрения на базе АПК "Безопасный город" стационарных, передвижных и </w:t>
      </w:r>
      <w:r>
        <w:rPr>
          <w:rFonts w:ascii="Arial" w:hAnsi="Arial" w:cs="Arial" w:eastAsia="Arial"/>
          <w:sz w:val="20"/>
          <w:szCs w:val="20"/>
          <w:lang w:val="ru-RU" w:bidi="ru-RU"/>
        </w:rPr>
        <w:t xml:space="preserve">мобильных комплексов автоматической фиксации нарушений правил дорожного движения; проведение комплекса мероприятий по мониторингу состояния и ремонта городских дорог; внедрение технологий умного города в сфере управления городскими транспортными системами.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условий для социальной адаптации и реабилитации лиц, больных наркоманией, и лиц, отбывших наказание в местах лишения свободы.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Эффективное осуществление профилактики безнадзорности, социальной помощи и реабилитации несовершеннолетних лиц с различными формами и степенью девиации.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развития антинаркотического движения, общественных антинаркотических объединений и организаций.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 защиты населения и территории от чрезвычайных ситуаций: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эффективной системы безопасности на водных объектах и системы пожарной безопасности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готовности системы гражданской обороны к защите населения, материальных и культурных ценностей на территории Томской области от опасностей, возникающих при ведении военных действий или вследствие этих действий.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Эффективное осуществление регионального государственного надзора в области защиты населения и территорий от чрезвычайных ситуаций природного и техногенного характера регионального, межмуниципального и муниципального уровня на территории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Введение повышенных профилактических мер в целях предупреждения и ликвидации чрезвычайных ситуаций</w:t>
      </w:r>
      <w:r>
        <w:rPr>
          <w:rFonts w:ascii="Arial" w:hAnsi="Arial" w:cs="Arial" w:eastAsia="Arial"/>
          <w:sz w:val="20"/>
          <w:szCs w:val="20"/>
          <w:lang w:val="ru-RU" w:bidi="ru-RU"/>
        </w:rPr>
        <w:t xml:space="preserve"> природного и техногенного характера, создание условий для гарантированного и качественного выполнения функций в области гражданской обороны и защиты населения и территории от чрезвычайных ситуаций в направлении ключевых аспектов жизнедеятельности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меры по совершенствованию деятельности органов управления и сил РСЧС;</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меры по внедрению комплексных систем обеспечения безопасности жизнедеятельности населения, повышения уровня защиты населения от чрезвычайных ситуаций и внедрения современных технологий и методов при проведении аварийно-спасательных работ;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меры по внедрению риск-ориентированного подхода при организации и осуществлении регионального надзора в области защиты населения и территорий от чрезвычайных ситуаций природного и техногенного характера;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меры по совершенствованию нормативной правовой базы в области защиты населения и территорий от чрезвычайных ситуаций;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усиление профилактических работ с населением в области гражданской обороны, защиты от чрезвычайных ситуаций;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региональной и муниципальных автоматизированных систем централизованного оповещения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поддержание в готовности системы п</w:t>
      </w:r>
      <w:r>
        <w:rPr>
          <w:rFonts w:ascii="Arial" w:hAnsi="Arial" w:cs="Arial" w:eastAsia="Arial"/>
          <w:sz w:val="20"/>
          <w:szCs w:val="20"/>
          <w:lang w:val="ru-RU" w:bidi="ru-RU"/>
        </w:rPr>
        <w:t xml:space="preserve">редупреждения и ликвидации чрезвычайных ситуаций, сил и средств пожарной охраны, областной поисково-спасательной службы за счет переоснащения подразделений современной специальной техникой, средствами индивидуальной защиты, пожарно-техническим вооружением;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мероприятия по уменьшению последствий ЧС:</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подготовка к проведению эвакуации населения из зон возможной ЧС;</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поддержание в готовности защитных сооружений к укрытию населения и к выдаче СИЗ; создание неснижаемых запасов продукции и материально-технических средств первоочередного жизнеобеспечения.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Осуществление мероприятий, направленных на решение задачи, позволит создать персональную безопасную среду для каждого жителя, что будет выражать</w:t>
      </w:r>
      <w:r>
        <w:rPr>
          <w:rFonts w:ascii="Arial" w:hAnsi="Arial" w:cs="Arial" w:eastAsia="Arial"/>
          <w:sz w:val="20"/>
          <w:szCs w:val="20"/>
          <w:lang w:val="ru-RU" w:bidi="ru-RU"/>
        </w:rPr>
        <w:t xml:space="preserve">ся в планомерном сокращении количества населения, погибшего и пострадавшего при чрезвычайных ситуациях, с 72 чел. в 2020 г. до 62 чел. к 2030 г., снижении количества зарегистрированных преступлений на 100 тыс. населения с 1611,5 в 2020 г. до 1605 к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3.5. Обеспечить развитие физической культуры</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спорта, проведение эффективной молодежной политики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в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Физическая культура и спорт</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w:t>
      </w:r>
      <w:r>
        <w:rPr>
          <w:rFonts w:ascii="Arial" w:hAnsi="Arial" w:cs="Arial" w:eastAsia="Arial"/>
          <w:sz w:val="20"/>
          <w:szCs w:val="20"/>
          <w:lang w:val="ru-RU" w:bidi="ru-RU"/>
        </w:rPr>
        <w:t xml:space="preserve">се политики Томской области - создание условий, обеспечивающих равные возможности жителям Томской области вести здоровый образ жизни, систематически заниматься физической культурой и спортом и способствующих повышению конкурентоспособности томского спорта.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 целью развития сферы физической куль</w:t>
      </w:r>
      <w:r>
        <w:rPr>
          <w:rFonts w:ascii="Arial" w:hAnsi="Arial" w:cs="Arial" w:eastAsia="Arial"/>
          <w:sz w:val="20"/>
          <w:szCs w:val="20"/>
          <w:lang w:val="ru-RU" w:bidi="ru-RU"/>
        </w:rPr>
        <w:t xml:space="preserve">туры и спорта в регионе активно проводятся официальные региональные, межрегиональные, всероссийские, международные физкультурные мероприятия, в том числе соревнования, для различных категорий и групп населения; реализуются мероприятия Всероссийского физкул</w:t>
      </w:r>
      <w:r>
        <w:rPr>
          <w:rFonts w:ascii="Arial" w:hAnsi="Arial" w:cs="Arial" w:eastAsia="Arial"/>
          <w:sz w:val="20"/>
          <w:szCs w:val="20"/>
          <w:lang w:val="ru-RU" w:bidi="ru-RU"/>
        </w:rPr>
        <w:t xml:space="preserve">ьтурно-спортивного комплекса "Готов к труду и обороне"; томские сборные команды активно участвуют в официальных межрегиональных, всероссийских, международных спортивных соревнованиях; ведется пропаганда физической культуры, спорта и здорового образа жизни.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целях создания равных возможностей для занятия спортом реализуются мероприятия по капитальному ремонту и строительству объектов спорта в муниципальных образованиях.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Приоритетными мероприятиями в сфере развития физической культуры и спорта в Томской области до 2030 года являются: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мероприятий, направленных на повышение интереса жителей Томской области к участию в официальных физкультурных мероприятиях, повышение организационного уровня и престижа официальных физкультурных мероприятий;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мероприятий, напра</w:t>
      </w:r>
      <w:r>
        <w:rPr>
          <w:rFonts w:ascii="Arial" w:hAnsi="Arial" w:cs="Arial" w:eastAsia="Arial"/>
          <w:sz w:val="20"/>
          <w:szCs w:val="20"/>
          <w:lang w:val="ru-RU" w:bidi="ru-RU"/>
        </w:rPr>
        <w:t xml:space="preserve">вленных на популяризацию Всероссийского физкультурно-спортивного комплекса "Готов к труду и обороне, совершенствование системы поощрения лиц, выполнивших нормативы испытаний (тестов) на знаки отличия ГТО, внедрение соревновательных элементов в систему ГТО;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установление эффективной коммуникации с различными целевыми аудиториями для адресной мотивации населения к физическому развитию и повышение степени информированности и уровня знаний </w:t>
      </w:r>
      <w:r>
        <w:rPr>
          <w:rFonts w:ascii="Arial" w:hAnsi="Arial" w:cs="Arial" w:eastAsia="Arial"/>
          <w:sz w:val="20"/>
          <w:szCs w:val="20"/>
          <w:lang w:val="ru-RU" w:bidi="ru-RU"/>
        </w:rPr>
        <w:t xml:space="preserve">по вопросам физической культуры и спорта среди населения, совершенствование информационного обеспечения деятельности в сфере физической культуры и спорта в средствах массовой информации, информационно-телекоммуникационной сети "Интернет", социальных сетях;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rPr>
          <w:rFonts w:ascii="Arial" w:hAnsi="Arial" w:cs="Arial" w:eastAsia="Arial"/>
          <w:sz w:val="20"/>
          <w:szCs w:val="20"/>
          <w:lang w:val="ru-RU" w:bidi="ru-RU"/>
        </w:rPr>
        <w:t xml:space="preserve"> совершенствование материально-технической базы физической культуры и спорта - приобретение оборудования, инвентаря и экипировки; создание спортивных площадок; капитальный ремонт спортивных сооружений; строительство физкультурно-оздоровительных комплексов;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проведение на высоком </w:t>
      </w:r>
      <w:r>
        <w:rPr>
          <w:rFonts w:ascii="Arial" w:hAnsi="Arial" w:cs="Arial" w:eastAsia="Arial"/>
          <w:sz w:val="20"/>
          <w:szCs w:val="20"/>
          <w:lang w:val="ru-RU" w:bidi="ru-RU"/>
        </w:rPr>
        <w:t xml:space="preserve">организационном уровне крупных всероссийских и международных спортивных мероприятий, а также выработка и реализация системного подхода к проведению на территории Томской области крупных спортивных мероприятий различного уровня и эффективному их управлению;</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совершенствование системы спортивной подготовки детей и молодежи, а также формирование условий для развития школьного и студенческого спорта;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необходимых материально-технических и организационных условий для вхождения спортсменов Томской области в составы спортивных сборных команд России для участия в чемпионатах мира и Европы, Олимпийских играх, Паралимпийских и Сурдлимпийских играх;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разработка системы дистанционного проведения физкультурных и спортивных мероприятий;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доступа социально ориентированных некоммерческих организаций к предоставлению услуг в рамках государственной программы в сфере физической культуры и спорта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проведение регулярных исследований уровня физической подготовленности населения, в том числе в рамках ГТО (в том числе с использованием результатов диспансеризации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содействие развитию корпоративного спорта (в том числе за счет развития системы корпоративных соревнований и стимулирования работодателей);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совершенствование подхода к управлению спортивной инфраструктурой, в том числе на этапах планирования, проектирования и эксплуатации;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совершенствование нормативно-правовой базы для развития сферы физической культуры и спорта;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совершенствование процесса сбора, анализа и управления данными, увеличение эффективности и скорости принятия управленческих решений с использованием цифровых технологий в области физической культуры и спорта.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Молодежная политика</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молодежной политики Томской области - создание условий для успешной социализации, самореализации и профессионального развития молодежи в приоритетных областях: наука, технологическое предпринимательство, социальная работа и волонтерство.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регио</w:t>
      </w:r>
      <w:r>
        <w:rPr>
          <w:rFonts w:ascii="Arial" w:hAnsi="Arial" w:cs="Arial" w:eastAsia="Arial"/>
          <w:sz w:val="20"/>
          <w:szCs w:val="20"/>
          <w:lang w:val="ru-RU" w:bidi="ru-RU"/>
        </w:rPr>
        <w:t xml:space="preserve">не ведется активная работа по вовлечению молодежи в волонтерское движение, число волонтеров ежегодно растет. С целью поддержки и развития добровольческих инициатив жителей создан Ресурсный центр развития добровольчества Томской области "Бумеранг Добра 70".</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Ведущими направлениями в сфере молодежной политики до 2030 года станут вовлечение в добровольческую (волонтерскую) деятельность, выявление и поддержка молодежных инициатив.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направленные на решение этих задач:</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системы поддержки добровольческой (волонтерской) деятельности на базе Ресурсного центра развития добровольчества Томской области "Бумеранг добра 70";</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проведение ежегодных рекламных кампаний по популяризации добровольчества;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усиление информационной, методической и экспертной поддержки молодых людей, участвующих в грантовых конкурсах федерального уровня с целью привлечения федерального финансирования молодежных проектов, реализующихся на территории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усиление информационного сопровождения молодежной политики в социальных сетях;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сохранение программы "мобильности" молодежи (финансовая поддержка от региона в части проезда на главные молодежные события страны);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программ и проектов для молодежи сельских территорий и малых городов;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самоуправления и самоорганизации в ученических, студенческих и трудовых коллективах.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результате к 2030 г. будет создана система и отработаны инструменты, обеспечивающие успешную социализацию и самореализацию молодежи (в т.ч. профе</w:t>
      </w:r>
      <w:r>
        <w:rPr>
          <w:rFonts w:ascii="Arial" w:hAnsi="Arial" w:cs="Arial" w:eastAsia="Arial"/>
          <w:sz w:val="20"/>
          <w:szCs w:val="20"/>
          <w:lang w:val="ru-RU" w:bidi="ru-RU"/>
        </w:rPr>
        <w:t xml:space="preserve">ссиональную самореализацию) и позволяющие молодым жителям Томской области стать активными участниками регионального развития, а также будет сформирована насыщенная спортивной инфраструктурой и событиями среда для поддержания физического здоровья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Индикаторами выполнения задачи станут рост доли граждан, систематически занимающихся физической культурой и спортом, с 41,8% в 2020 г. до 70% к 2030 г. и рост общей численности граждан, вовлеченных центрами (сообществами, объедине</w:t>
      </w:r>
      <w:r>
        <w:rPr>
          <w:rFonts w:ascii="Arial" w:hAnsi="Arial" w:cs="Arial" w:eastAsia="Arial"/>
          <w:sz w:val="20"/>
          <w:szCs w:val="20"/>
          <w:lang w:val="ru-RU" w:bidi="ru-RU"/>
        </w:rPr>
        <w:t xml:space="preserve">ниями) поддержки добровольчества (волонтерства)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с 32 тыс. чел. в 2020 г. до 147,9 тыс. чел. в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3.6. Содействовать развитию эффективного рынка труда</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кадровому обеспечению экономики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политики Томской области - развитие гибкого рынка труда, обеспечение трансформации структуры занятости с повыше</w:t>
      </w:r>
      <w:r>
        <w:rPr>
          <w:rFonts w:ascii="Arial" w:hAnsi="Arial" w:cs="Arial" w:eastAsia="Arial"/>
          <w:sz w:val="20"/>
          <w:szCs w:val="20"/>
          <w:lang w:val="ru-RU" w:bidi="ru-RU"/>
        </w:rPr>
        <w:t xml:space="preserve">нием доли новых и перспективных профессий, востребованных новыми секторами экономики, создание лучших условий труда (включая разнообразие форм занятости, гибридные форматы офлайн и дистанционной работы), обеспечение качественного миграционного прироста, вк</w:t>
      </w:r>
      <w:r>
        <w:rPr>
          <w:rFonts w:ascii="Arial" w:hAnsi="Arial" w:cs="Arial" w:eastAsia="Arial"/>
          <w:sz w:val="20"/>
          <w:szCs w:val="20"/>
          <w:lang w:val="ru-RU" w:bidi="ru-RU"/>
        </w:rPr>
        <w:t xml:space="preserve">лючая создание возможностей социально-культурной адаптации. Другим значимым направлением для обеспечения занятости населения региона является развитие образовательной инфраструктуры для бесшовной смены профессий за счет обучения по дополнительным профессио</w:t>
      </w:r>
      <w:r>
        <w:rPr>
          <w:rFonts w:ascii="Arial" w:hAnsi="Arial" w:cs="Arial" w:eastAsia="Arial"/>
          <w:sz w:val="20"/>
          <w:szCs w:val="20"/>
          <w:lang w:val="ru-RU" w:bidi="ru-RU"/>
        </w:rPr>
        <w:t xml:space="preserve">нальным программам, в том числе с использованием мер государственной поддержки. Мероприятия по развитию рынка труда должны быть направлены на сокращение оттока трудоспособного населения и обеспечение роста реальных располагаемых денежных доходов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Численность экономически активного населения Томской области остается на относительно стабильном уровне. Структура занятости характеризует регион как научно-образовательный центр с дол</w:t>
      </w:r>
      <w:r>
        <w:rPr>
          <w:rFonts w:ascii="Arial" w:hAnsi="Arial" w:cs="Arial" w:eastAsia="Arial"/>
          <w:sz w:val="20"/>
          <w:szCs w:val="20"/>
          <w:lang w:val="ru-RU" w:bidi="ru-RU"/>
        </w:rPr>
        <w:t xml:space="preserve">ей занятости в отраслях "Образование" и "Деятельность профессиональная, научная и техническая" (в 2019 году в 10% и 5,1% соответственно). Вместе с тем распределение кадров по отраслям подтверждает статус Томской области как развитого промышленного региона </w:t>
      </w:r>
      <w:r>
        <w:rPr>
          <w:rFonts w:ascii="Arial" w:hAnsi="Arial" w:cs="Arial" w:eastAsia="Arial"/>
          <w:sz w:val="20"/>
          <w:szCs w:val="20"/>
          <w:lang w:val="ru-RU" w:bidi="ru-RU"/>
        </w:rPr>
        <w:t xml:space="preserve">(наблюдается рост доли занятых в сфере "Обрабатывающие производства", составляет 12,8%, и "Добыча полезных ископаемых" - 2,5%). Число занятых в сфере "Деятельность в области информации и связи" не менялось (доля занятых сохраняется на уровне 2,0%). При это</w:t>
      </w:r>
      <w:r>
        <w:rPr>
          <w:rFonts w:ascii="Arial" w:hAnsi="Arial" w:cs="Arial" w:eastAsia="Arial"/>
          <w:sz w:val="20"/>
          <w:szCs w:val="20"/>
          <w:lang w:val="ru-RU" w:bidi="ru-RU"/>
        </w:rPr>
        <w:t xml:space="preserve">м в сферах "Деятельность гостиниц и предприятий общественного питания", "Деятельность в области культуры, спорта, организации досуга и развлечений" в период 2018 - 2019 гг. число занятых росло, а доля данных сфер в структуре занятости составила около 4,7%.</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Анализ динамики ключевых показателей позволяет оценить обеспеченность отраслей Томской области кадрами, результаты представлены в таблице 8.</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8 - Кадровая обеспеченность отраслей</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Томской области 2018 - 2019 гг.</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jc w:val="center"/>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3005"/>
        <w:gridCol w:w="1465"/>
        <w:gridCol w:w="1545"/>
        <w:gridCol w:w="1330"/>
        <w:gridCol w:w="1618"/>
      </w:tblGrid>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Отрасль (по </w:t>
            </w:r>
            <w:hyperlink r:id="rId59" w:tooltip="consultantplus://offline/ref=9ACAA89C6FF58C33776267CAD8136869748290F22AEEB854C524F083A7349DB9F4BFD35783C73F15E4AF5B38355Cs4I" w:history="1">
              <w:r>
                <w:rPr>
                  <w:rFonts w:ascii="Arial" w:hAnsi="Arial" w:cs="Arial" w:eastAsia="Arial"/>
                  <w:color w:val="0000FF"/>
                  <w:sz w:val="20"/>
                  <w:szCs w:val="20"/>
                  <w:lang w:val="ru-RU" w:bidi="ru-RU"/>
                </w:rPr>
                <w:t xml:space="preserve">ОКВЭД</w:t>
              </w:r>
            </w:hyperlink>
            <w:r>
              <w:rPr>
                <w:rFonts w:ascii="Arial" w:hAnsi="Arial" w:cs="Arial" w:eastAsia="Arial"/>
                <w:sz w:val="20"/>
                <w:szCs w:val="20"/>
                <w:lang w:val="ru-RU" w:bidi="ru-RU"/>
              </w:rPr>
              <w:t xml:space="preserve">)</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Изменение численности занятых, тыс. чел. 2018 - 2019 гг.</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занятых в отрасли от общей численности занятых, 2019 г, %</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Изменение доли занятых, 2018 - 2019 гг., %</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Кадровая обеспеченность отрасли в сравнении со средними по Российской Федерации и СФО</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Всего занятых</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Сельское, лесное хозяйство, охота, рыболовство и рыбоводство</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+0,17</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Средняя</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Добыча полезных ископаемых</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+0,44</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выше средней</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Обрабатывающие производства</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-0,7</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Средняя</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Обеспечение электрической энергией, газом и паром; кондиционирование воздуха</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-1,58</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-0,3</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ниже средней</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Водоснабжение; водоотведение, организация сбора и утилизации отходов, деятельность по ликвидации загрязнений</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-0,69</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0,8</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ниже средней</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Строительство</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+0,28</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6,8</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ниже средней</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Торговля оптовая и розничная; ремонт автотранспортных средств и мотоциклов</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19,3</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+1,21</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ниже средней</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Транспортировка и хранение</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-0,89</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7,9</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ниже средней</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Деятельность гостиниц и предприятий общественного питания</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+1,37</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+0,3</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средняя</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Деятельность в области информации и связи</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-0,18</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-0,01</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средняя</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Деятельность финансовая и страховая</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-0,34</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средняя</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Деятельность по операциям с недвижимым имуществом</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средняя</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Деятельность профессиональная, научная и техническая</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-0,55</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-0,04</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выше средней</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Деятельность административная и сопутствующие дополнительные услуги</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+1,17</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средняя</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Государственное управление и обеспечение военной безопасности; социальное обеспечение</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-1,55</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средняя</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Образование</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-3,46</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-0,5</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выше средней</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Деятельность в области здравоохранения и социальных услуг</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-1,19</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ниже средней</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Деятельность в области культуры, спорта, организации досуга и развлечений</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-0,05</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+0,01</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ниже средней</w:t>
            </w:r>
            <w:r/>
          </w:p>
        </w:tc>
      </w:tr>
      <w:tr>
        <w:trPr>
          <w:jc w:val="center"/>
        </w:trPr>
        <w:tc>
          <w:tcPr>
            <w:tcBorders>
              <w:left w:val="single" w:color="000000" w:sz="4" w:space="0"/>
              <w:top w:val="single" w:color="000000" w:sz="4" w:space="0"/>
              <w:right w:val="single" w:color="000000" w:sz="4" w:space="0"/>
              <w:bottom w:val="single" w:color="000000" w:sz="4" w:space="0"/>
            </w:tcBorders>
            <w:tcW w:w="300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Предоставление прочих видов услуг</w:t>
            </w:r>
            <w:r/>
          </w:p>
        </w:tc>
        <w:tc>
          <w:tcPr>
            <w:tcBorders>
              <w:left w:val="single" w:color="000000" w:sz="4" w:space="0"/>
              <w:top w:val="single" w:color="000000" w:sz="4" w:space="0"/>
              <w:right w:val="single" w:color="000000" w:sz="4" w:space="0"/>
              <w:bottom w:val="single" w:color="000000" w:sz="4" w:space="0"/>
            </w:tcBorders>
            <w:tcW w:w="146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+0,8</w:t>
            </w:r>
            <w:r/>
          </w:p>
        </w:tc>
        <w:tc>
          <w:tcPr>
            <w:tcBorders>
              <w:left w:val="single" w:color="000000" w:sz="4" w:space="0"/>
              <w:top w:val="single" w:color="000000" w:sz="4" w:space="0"/>
              <w:right w:val="single" w:color="000000" w:sz="4" w:space="0"/>
              <w:bottom w:val="single" w:color="000000" w:sz="4" w:space="0"/>
            </w:tcBorders>
            <w:tcW w:w="1545"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w:t>
            </w:r>
            <w:r/>
          </w:p>
        </w:tc>
        <w:tc>
          <w:tcPr>
            <w:tcBorders>
              <w:left w:val="single" w:color="000000" w:sz="4" w:space="0"/>
              <w:top w:val="single" w:color="000000" w:sz="4" w:space="0"/>
              <w:right w:val="single" w:color="000000" w:sz="4" w:space="0"/>
              <w:bottom w:val="single" w:color="000000" w:sz="4" w:space="0"/>
            </w:tcBorders>
            <w:tcW w:w="1330"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w:t>
            </w:r>
            <w:r/>
          </w:p>
        </w:tc>
        <w:tc>
          <w:tcPr>
            <w:tcBorders>
              <w:left w:val="single" w:color="000000" w:sz="4" w:space="0"/>
              <w:top w:val="single" w:color="000000" w:sz="4" w:space="0"/>
              <w:right w:val="single" w:color="000000" w:sz="4" w:space="0"/>
              <w:bottom w:val="single" w:color="000000" w:sz="4" w:space="0"/>
            </w:tcBorders>
            <w:tcW w:w="1618"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средняя</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Кадровая обеспеченность выше средней предполагает, что на предприятиях данной отрасли на 15 - 20% больше кадров, чем на предприятиях Российской Федерации и СФО, при сопоставимой </w:t>
      </w:r>
      <w:r>
        <w:rPr>
          <w:rFonts w:ascii="Arial" w:hAnsi="Arial" w:cs="Arial" w:eastAsia="Arial"/>
          <w:sz w:val="20"/>
          <w:szCs w:val="20"/>
          <w:lang w:val="ru-RU" w:bidi="ru-RU"/>
        </w:rPr>
        <w:t xml:space="preserve">или более высокой производительности труда. При этом на работу в данных секторах требуются специалисты по 3 профессиям из списка 20 самых востребованных профессий Томской области. Средняя кадровая обеспеченность означает, что на предприятиях данной отрасли</w:t>
      </w:r>
      <w:r>
        <w:rPr>
          <w:rFonts w:ascii="Arial" w:hAnsi="Arial" w:cs="Arial" w:eastAsia="Arial"/>
          <w:sz w:val="20"/>
          <w:szCs w:val="20"/>
          <w:lang w:val="ru-RU" w:bidi="ru-RU"/>
        </w:rPr>
        <w:t xml:space="preserve"> число работников в расчете на организацию в регионе соответствует аналогичным показателям в СФО и Российской Федерации. При этом на работу в данных секторах требуются специалисты по 6 профессиям из списка 20 самых востребованных профессий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Кадровая обеспеченность ниже средней говорит о том, что на предприятиях данной отрасл</w:t>
      </w:r>
      <w:r>
        <w:rPr>
          <w:rFonts w:ascii="Arial" w:hAnsi="Arial" w:cs="Arial" w:eastAsia="Arial"/>
          <w:sz w:val="20"/>
          <w:szCs w:val="20"/>
          <w:lang w:val="ru-RU" w:bidi="ru-RU"/>
        </w:rPr>
        <w:t xml:space="preserve">и на 10 - 15% меньше кадров, чем на предприятиях Российской Федерации и СФО, при сопоставимой производительности труда. При этом на работу в данных секторах требуются специалисты по 11 профессиям из списка 20 самых востребованных профессий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Кроме того, по данным опросов бизнеса, руководители предприятий региона (в первую очередь экспортно ориентированных, осущ</w:t>
      </w:r>
      <w:r>
        <w:rPr>
          <w:rFonts w:ascii="Arial" w:hAnsi="Arial" w:cs="Arial" w:eastAsia="Arial"/>
          <w:sz w:val="20"/>
          <w:szCs w:val="20"/>
          <w:lang w:val="ru-RU" w:bidi="ru-RU"/>
        </w:rPr>
        <w:t xml:space="preserve">ествляющих или планирующих выход на международные рынки) указывают на дополнительную потребность в инженерных и исследовательских кадрах &lt;28&gt;, а также отмечают трудности, связанные с поиском кадров необходимой квалификации в сфере цифровых технологий &lt;29&gt;;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&lt;28&gt; Опрос предприятий Томской области о кадровой обеспеченности, 2020 г., выборка: 30 компаний (Фонд "ЦСР "Северо-Запад", сентябрь 2020 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&lt;29&gt; Мониторинг рынка труда Томской области, 2019 г., выборка: 900 компаний.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 уровню заработной платы регион остается наиболее привлекательным для работы в следующих сферах: "Добыча полезных ископаемых", "Обрабатывающие произв</w:t>
      </w:r>
      <w:r>
        <w:rPr>
          <w:rFonts w:ascii="Arial" w:hAnsi="Arial" w:cs="Arial" w:eastAsia="Arial"/>
          <w:sz w:val="20"/>
          <w:szCs w:val="20"/>
          <w:lang w:val="ru-RU" w:bidi="ru-RU"/>
        </w:rPr>
        <w:t xml:space="preserve">одства", "Образование", "Деятельность профессиональная, научная и техническая", и менее привлекательным для работы в сферах: "Деятельность административная и сопутствующие дополнительные услуги", "Деятельность в области здравоохранения и социальных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Таким образом, ключевые промышленные сектора Томской области (в т.ч. "Добыча полезных ископаемых", "Обр</w:t>
      </w:r>
      <w:r>
        <w:rPr>
          <w:rFonts w:ascii="Arial" w:hAnsi="Arial" w:cs="Arial" w:eastAsia="Arial"/>
          <w:sz w:val="20"/>
          <w:szCs w:val="20"/>
          <w:lang w:val="ru-RU" w:bidi="ru-RU"/>
        </w:rPr>
        <w:t xml:space="preserve">абатывающие производства") в целом не испытывают дефицита в кадрах, однако для обеспечения интенсивного развития экономики требуется обеспечить рынок специалистами с инженерными и передовыми технологическими компетенциями. Для развития Томской области как </w:t>
      </w:r>
      <w:r>
        <w:rPr>
          <w:rFonts w:ascii="Arial" w:hAnsi="Arial" w:cs="Arial" w:eastAsia="Arial"/>
          <w:sz w:val="20"/>
          <w:szCs w:val="20"/>
          <w:lang w:val="ru-RU" w:bidi="ru-RU"/>
        </w:rPr>
        <w:t xml:space="preserve">комфортного региона с высоким качеством жизни критично развитие социальной сферы, в этой связи актуальна задача по повышению привлекательности сферы услуг и качества городской среды для высококвалифицированных специалистов из других регионов страны и мира.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предпринимает меры активной политики занятости населения, ведет работу по трудоустройству граждан, имеющих инвалидность, развитию социального партнерства, профориентации школьник</w:t>
      </w:r>
      <w:r>
        <w:rPr>
          <w:rFonts w:ascii="Arial" w:hAnsi="Arial" w:cs="Arial" w:eastAsia="Arial"/>
          <w:sz w:val="20"/>
          <w:szCs w:val="20"/>
          <w:lang w:val="ru-RU" w:bidi="ru-RU"/>
        </w:rPr>
        <w:t xml:space="preserve">ов и студентов, улучшению условий и охраны труда, содействию добровольному переселению соотечественников, проживающих за рубежом, что положительно сказалось на общем уровне безработицы в период 2014 - 2019 гг. (снижение с 7,6% в 2014 г. до 5,5% в 2019 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Службы занятости оказывают содействие в подборе и развитии персонала по заказам работодателей с помощью современных электронных сервисов информационно-аналит</w:t>
      </w:r>
      <w:r>
        <w:rPr>
          <w:rFonts w:ascii="Arial" w:hAnsi="Arial" w:cs="Arial" w:eastAsia="Arial"/>
          <w:sz w:val="20"/>
          <w:szCs w:val="20"/>
          <w:lang w:val="ru-RU" w:bidi="ru-RU"/>
        </w:rPr>
        <w:t xml:space="preserve">ической системы Общероссийской базы вакансий "Работа в России" и Интерактивного портала службы занятости населения Томской области. Эффективность работы сервисов выражается в увеличении числа зарегистрированных личных кабинетов работодателей и соискателей.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Значимой формой поддержки занятости является содействие самозанятости граждан, которая включает помощь при подготовке документов, составлении бизнес-планов и гранты в размере 100,0 тыс. рублей на открытие собственного дела.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Тем не менее в 2020 году рынок труда как сфера государственного управления столкнулся с серьезными вызовами, которые требуют пересмотра комплекса реал</w:t>
      </w:r>
      <w:r>
        <w:rPr>
          <w:rFonts w:ascii="Arial" w:hAnsi="Arial" w:cs="Arial" w:eastAsia="Arial"/>
          <w:sz w:val="20"/>
          <w:szCs w:val="20"/>
          <w:lang w:val="ru-RU" w:bidi="ru-RU"/>
        </w:rPr>
        <w:t xml:space="preserve">изуемых мероприятий, запуска серии новых механизмов развития рынка. С марта 2020 г. в Томской области наблюдался рост безработицы (2020 г. - 8,6%). Баланс рынка труда ухудшился: на рынок вышли квалифицированные работники, а количество вакансий сократилось.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Ситуация на рынке труда в следующие несколько лет будет носить характер системного перехода к новым параметрам. Проблемы с достойным трудоустройством могут испытывать</w:t>
      </w:r>
      <w:r>
        <w:rPr>
          <w:rFonts w:ascii="Arial" w:hAnsi="Arial" w:cs="Arial" w:eastAsia="Arial"/>
          <w:sz w:val="20"/>
          <w:szCs w:val="20"/>
          <w:lang w:val="ru-RU" w:bidi="ru-RU"/>
        </w:rPr>
        <w:t xml:space="preserve"> как молодежь, в том числе выпускники образовательных организаций высшего образования, которые ищут первое место работы (39,8% молодых людей Томской области в возрасте 15 - 40 лет отмечают проблему с трудоустройством как одну из наиболее значимых, вынуждаю</w:t>
      </w:r>
      <w:r>
        <w:rPr>
          <w:rFonts w:ascii="Arial" w:hAnsi="Arial" w:cs="Arial" w:eastAsia="Arial"/>
          <w:sz w:val="20"/>
          <w:szCs w:val="20"/>
          <w:lang w:val="ru-RU" w:bidi="ru-RU"/>
        </w:rPr>
        <w:t xml:space="preserve">щих их покидать регион &lt;30&gt;), так и квалифицированные специалисты из сервисных отраслей (туризм, развлечения, торговля), работники творческих индустрий, сферы культуры, сервисные рабочие (нефтегазодобыча, строительство). Эффективные инструменты по работе с</w:t>
      </w:r>
      <w:r>
        <w:rPr>
          <w:rFonts w:ascii="Arial" w:hAnsi="Arial" w:cs="Arial" w:eastAsia="Arial"/>
          <w:sz w:val="20"/>
          <w:szCs w:val="20"/>
          <w:lang w:val="ru-RU" w:bidi="ru-RU"/>
        </w:rPr>
        <w:t xml:space="preserve"> этими категориями на уровне страны пока не реализованы. Кроме того, рынок труда в связи с событиями 2020 года будет демонстрировать большую волатильность, чем в предыдущем периоде, в том числе в связи с расширением форм занятости (удаленная работа, неполн</w:t>
      </w:r>
      <w:r>
        <w:rPr>
          <w:rFonts w:ascii="Arial" w:hAnsi="Arial" w:cs="Arial" w:eastAsia="Arial"/>
          <w:sz w:val="20"/>
          <w:szCs w:val="20"/>
          <w:lang w:val="ru-RU" w:bidi="ru-RU"/>
        </w:rPr>
        <w:t xml:space="preserve">ая неделя, гибкий график и пр.), а также самозанятости, где институциональные параметры учета и управления до конца не сформировались. Задача региона в новых условиях - создать качественный и гибкий рынок труда с высоким уровнем квалификаций и компетенций.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&lt;30&gt; Соц</w:t>
      </w:r>
      <w:r>
        <w:rPr>
          <w:rFonts w:ascii="Arial" w:hAnsi="Arial" w:cs="Arial" w:eastAsia="Arial"/>
          <w:sz w:val="20"/>
          <w:szCs w:val="20"/>
          <w:lang w:val="ru-RU" w:bidi="ru-RU"/>
        </w:rPr>
        <w:t xml:space="preserve">иологическое исследование для оценки потребностей, проблем и ожиданий трудоспособного населения Томской области в возрасте 15 - 40 лет и оценки их изменений в связи с пандемией коронавирусной инфекции 2020 года (Фонд "ЦСР "Северо-Запад", сентябрь 2020 г.).</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развития рынка труда: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гибкости в новых экономико-социальных условиях. На основе использования цифровых технологий формирование "персонифицированного" подхода к каждому участнику рынка труда: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цифровой сервисной платформы по управлению параметрами рынка труда в режиме реального времени с допуском к сервисам всех сторон рынка - работодателей, сотрудников, лиц, находящихся в поиске работы, обучающихся, образовательных организаций, НКО;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на основе цифровых моделей системы анализа и прогноза рынка труда, опре</w:t>
      </w:r>
      <w:r>
        <w:rPr>
          <w:rFonts w:ascii="Arial" w:hAnsi="Arial" w:cs="Arial" w:eastAsia="Arial"/>
          <w:sz w:val="20"/>
          <w:szCs w:val="20"/>
          <w:lang w:val="ru-RU" w:bidi="ru-RU"/>
        </w:rPr>
        <w:t xml:space="preserve">деления потребности в квалификациях и компетенциях в организациях Томской области. Создание передовой аналитической системы движения кадров для анализа востребованных профессий и навыков, оценки рисков увольнений, необходимости дополнительного образования;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гибкого рынка компетенций и квалификаций с реализацией масштабных образовательных программ по ликвидации квалификационных дефицитов на рынке;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цифровизация деятельности служб занятости, переформатирование по аналогии с моделью цифрового МФЦ;</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готовности занятых к переходу на новые форматы работы, к работе в удаленных форматах, обеспечение высокого уровня владения цифровыми компетенциями, а также компетенциями, востребованными на рынке труда;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адаптации работодателей к новым условиям работы рынка труда, поддержка в прогнозировании загрузки, применении современных методов организации труда, поддержка программ переобучения персонала;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содействие "обелению" занятости, переходу из неформального сектора в организованный;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содействие трудоустройству выпускников образовательных организаций высшего образования, помощь в поиске первого и второго рабочего места, в том числе через механизмы цифровых сервисов.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Ликвидация дефицитов рынка труда в сфере социального обслуживания и качества жизни, в особенности на уровне муниципальных образований. Обеспечение в социальной сфере динамичных карьерных траекторий, формирование карьерног</w:t>
      </w:r>
      <w:r>
        <w:rPr>
          <w:rFonts w:ascii="Arial" w:hAnsi="Arial" w:cs="Arial" w:eastAsia="Arial"/>
          <w:sz w:val="20"/>
          <w:szCs w:val="20"/>
          <w:lang w:val="ru-RU" w:bidi="ru-RU"/>
        </w:rPr>
        <w:t xml:space="preserve">о навигатора Томской области в сфере социально значимых профессий. Расширение механизмов привлечения кадров из других регионов и стран СНГ, в том числе с использованием лучших региональных практик. Обеспечение замещения выбывающих кадров в ключевых сферах: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общее и профессиональное образование;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здравоохранение и социальное обслуживание;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культура, творческие профессии;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НКО, волонтерство и добровольчество.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Расширение системы поддержки роста доходов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эффективной модели обеспечения роста доходов самозанятых, в том </w:t>
      </w:r>
      <w:r>
        <w:rPr>
          <w:rFonts w:ascii="Arial" w:hAnsi="Arial" w:cs="Arial" w:eastAsia="Arial"/>
          <w:sz w:val="20"/>
          <w:szCs w:val="20"/>
          <w:lang w:val="ru-RU" w:bidi="ru-RU"/>
        </w:rPr>
        <w:t xml:space="preserve">числе посредством формирования института поддержки в развитии своего дела, предпринимательского наставничества. Расширение участия бизнеса в поддержке самозанятых граждан (в том числе через механизм закупок товаров, услуг, временную и проектную занятость);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w:t>
      </w:r>
      <w:r>
        <w:rPr>
          <w:rFonts w:ascii="Arial" w:hAnsi="Arial" w:cs="Arial" w:eastAsia="Arial"/>
          <w:sz w:val="20"/>
          <w:szCs w:val="20"/>
          <w:lang w:val="ru-RU" w:bidi="ru-RU"/>
        </w:rPr>
        <w:t xml:space="preserve">опережающее профессиональное обучение и стажировка работников организаций, выбывших или находящихся под риском увольнения, и граждан, находящихся в поиске работы в сфере создания своего дела. Формирование системы страхования первых лет предпринимательства.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системы кадрового обеспечения интенсивной модели развития экономики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Атласа новых профессий Томской области, включая создание перечня новых и перспективных профессий, востребованных в регионе к 2030 году, а также оценку потребности в занятых по ключевым секторам экономики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роста подготовки специалистов в области высоких технологий, в том числе формирование современных моделей и программ подготовки в области разработки, тестирования технологий, исследований, продуктового инжиниринга &lt;31&gt;;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&lt;31&gt; Опрос томских работодателей в 2019 году показывает, что кадры в сфере информационных технологий являются одной из категорий, вызывающей наибольшие трудности поиска новых сотрудников.</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роста числа новых рабочих мест во внебюджетном секторе экономики. Требуется создание условий</w:t>
      </w:r>
      <w:r>
        <w:rPr>
          <w:rFonts w:ascii="Arial" w:hAnsi="Arial" w:cs="Arial" w:eastAsia="Arial"/>
          <w:sz w:val="20"/>
          <w:szCs w:val="20"/>
          <w:lang w:val="ru-RU" w:bidi="ru-RU"/>
        </w:rPr>
        <w:t xml:space="preserve"> для массового освоения занятыми ключевых востребованных навыков, включая "жесткие" (ядро профессиональной квалификации), "мягкие" (социальные и культурные навыки) и цифровые (использование цифровых и платформенных решений в профессиональной деятельности);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запуск и реализация проектов с помощью механизмов государственно-частного партнерства в сфере профессионального образования.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 ключевым источникам обеспечения потребности региона в кадрах относится: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подготовка и переподготовка кадров в системе среднего профессионального, высшего и дополнительного профессионального образования;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притока молодых специалистов и высококвалифицированных кадров, в том числе путем запуска томскими компаниями программ релокации иногородних/иностранных сотрудников и создания инфраструктуры типа "софт-лэндинг";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благоприятных условий для жизни и работы;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проведение активной миграционной политики с целью обеспечения миграционного прироста на территориях муниципальных образований.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Прогнозируемый баланс трудовых ресурсов с учетом реализации планируемых приоритетных направлений предполагает увеличение к 2030 году </w:t>
      </w:r>
      <w:r>
        <w:rPr>
          <w:rFonts w:ascii="Arial" w:hAnsi="Arial" w:cs="Arial" w:eastAsia="Arial"/>
          <w:sz w:val="20"/>
          <w:szCs w:val="20"/>
          <w:lang w:val="ru-RU" w:bidi="ru-RU"/>
        </w:rPr>
        <w:t xml:space="preserve">в Томской области численности трудовых ресурсов на 4,9% (с 654,30 тыс. чел. в 2019 г. до 686,18 тыс. чел. в 2030 г.), при этом численность трудоспособного населения в трудоспособном возрасте увеличится на 8,1% (с 613,14 тыс. чел. в 2019 г. до 662,63 тыс. ч</w:t>
      </w:r>
      <w:r>
        <w:rPr>
          <w:rFonts w:ascii="Arial" w:hAnsi="Arial" w:cs="Arial" w:eastAsia="Arial"/>
          <w:sz w:val="20"/>
          <w:szCs w:val="20"/>
          <w:lang w:val="ru-RU" w:bidi="ru-RU"/>
        </w:rPr>
        <w:t xml:space="preserve">ел. в 2030 г.), численность иностранных трудовых мигрантов сократится - на 2% (с 7,33 тыс. чел. в 2019 г. до 7,18 тыс. чел. в 2030 г.), численность работающих граждан, находящихся за пределами трудоспособного возраста - на 51,6% (с 33,84 тыс. чел. в 2019 г</w:t>
      </w:r>
      <w:r>
        <w:rPr>
          <w:rFonts w:ascii="Arial" w:hAnsi="Arial" w:cs="Arial" w:eastAsia="Arial"/>
          <w:sz w:val="20"/>
          <w:szCs w:val="20"/>
          <w:lang w:val="ru-RU" w:bidi="ru-RU"/>
        </w:rPr>
        <w:t xml:space="preserve">. до 16,38 тыс. чел. в 2030 г.). В разрезе отраслей экономики структура занятости не будет претерпевать радикальных изменений и будет подтверждать статус Томской области как развитого промышленного региона с активно растущими технологическими кластерами. В</w:t>
      </w:r>
      <w:r>
        <w:rPr>
          <w:rFonts w:ascii="Arial" w:hAnsi="Arial" w:cs="Arial" w:eastAsia="Arial"/>
          <w:sz w:val="20"/>
          <w:szCs w:val="20"/>
          <w:lang w:val="ru-RU" w:bidi="ru-RU"/>
        </w:rPr>
        <w:t xml:space="preserve"> частности, доля занятых в сфере "Обрабатывающие производства" увеличится с 12,8% в 2019 г. до 15,0% в 2030 г., в сфере "Добыча полезных ископаемых" - сохранится на уровне 2,5%, в сфере "Деятельность в области информации и связи" - сохранится на уровне 2%.</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 результатам реализации данной задачи регион стабилизирует занятость, создаст современный, гибкий, высококвалифицированный и высокопроизводительный рынок труда и станет одним и</w:t>
      </w:r>
      <w:r>
        <w:rPr>
          <w:rFonts w:ascii="Arial" w:hAnsi="Arial" w:cs="Arial" w:eastAsia="Arial"/>
          <w:sz w:val="20"/>
          <w:szCs w:val="20"/>
          <w:lang w:val="ru-RU" w:bidi="ru-RU"/>
        </w:rPr>
        <w:t xml:space="preserve">з национальных лидеров по обеспечению условий труда. Индикаторами выполнения задачи станут снижение уровня безработицы с 8,6% в 2020 г. до 5,6% к 2030 г. и рост индекса реальной среднемесячной заработной платы на 27% к 2030 г. по отношению к уровню 2020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3.7. Повысить качество, актуальность и доступность</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услуг в сфере культуры в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региональной политики - создание современного облика Томской области за счет современного культурного наполнения, развития новых </w:t>
      </w:r>
      <w:r>
        <w:rPr>
          <w:rFonts w:ascii="Arial" w:hAnsi="Arial" w:cs="Arial" w:eastAsia="Arial"/>
          <w:sz w:val="20"/>
          <w:szCs w:val="20"/>
          <w:lang w:val="ru-RU" w:bidi="ru-RU"/>
        </w:rPr>
        <w:t xml:space="preserve">общественных пространств, роста общего качества городской среды, в том числе через внедрение цифровых решений в сфере городского хозяйства и повышение вовлечения населения в развитие городской среды. При этом приоритетным остается сохранение этнокультурных</w:t>
      </w:r>
      <w:r>
        <w:rPr>
          <w:rFonts w:ascii="Arial" w:hAnsi="Arial" w:cs="Arial" w:eastAsia="Arial"/>
          <w:sz w:val="20"/>
          <w:szCs w:val="20"/>
          <w:lang w:val="ru-RU" w:bidi="ru-RU"/>
        </w:rPr>
        <w:t xml:space="preserve"> особенностей и историко-культурного наследия народов Российской Федерации, объектов природного наследия, а также обеспечение сохранения, воссоздания ценной историко-культурной среды города с учетом статуса регионального центра как исторического поселения.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Развитие сферы культуры затрагивает не только г. Томск как региональный центр, но и другие муниципальные образов</w:t>
      </w:r>
      <w:r>
        <w:rPr>
          <w:rFonts w:ascii="Arial" w:hAnsi="Arial" w:cs="Arial" w:eastAsia="Arial"/>
          <w:sz w:val="20"/>
          <w:szCs w:val="20"/>
          <w:lang w:val="ru-RU" w:bidi="ru-RU"/>
        </w:rPr>
        <w:t xml:space="preserve">ания Томской области, включая районные центры и сельские территории. В связи с этим регионом запущена работа по улучшению условий для предоставления услуг в сфере культуры для городского и сельского населения. С целью повышения качества предоставления услу</w:t>
      </w:r>
      <w:r>
        <w:rPr>
          <w:rFonts w:ascii="Arial" w:hAnsi="Arial" w:cs="Arial" w:eastAsia="Arial"/>
          <w:sz w:val="20"/>
          <w:szCs w:val="20"/>
          <w:lang w:val="ru-RU" w:bidi="ru-RU"/>
        </w:rPr>
        <w:t xml:space="preserve">г образования в сфере культуры Томская область выступила пилотным проектом по переводу детских школ искусств на уровень субъекта. В ответ на события 2020 года в регионе приступили к формированию единого культурного цифрового пространства "Культура онлайн".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 целью повышения качества предоставления услуг в сфере культуры ведется активная работа по строительству и капитальному ремонту объектов культуры.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результате проводимых крупных культурно-массовых мероприятий, ставших традиционными, - "Праздник топора", Губер</w:t>
      </w:r>
      <w:r>
        <w:rPr>
          <w:rFonts w:ascii="Arial" w:hAnsi="Arial" w:cs="Arial" w:eastAsia="Arial"/>
          <w:sz w:val="20"/>
          <w:szCs w:val="20"/>
          <w:lang w:val="ru-RU" w:bidi="ru-RU"/>
        </w:rPr>
        <w:t xml:space="preserve">наторский фестиваль народного творчества "Вместе мы - Россия", межрегиональный фестиваль казачьей культуры "Братина" и т.д., в регионе выросла вовлеченность жителей в культурно-досуговую жизнь, что создает запрос на дальнейшее развитие креативного сектора.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Общенациональный локдаун, затронувший сферу культуры, в связи с временным закрытием учреждений и ограничением р</w:t>
      </w:r>
      <w:r>
        <w:rPr>
          <w:rFonts w:ascii="Arial" w:hAnsi="Arial" w:cs="Arial" w:eastAsia="Arial"/>
          <w:sz w:val="20"/>
          <w:szCs w:val="20"/>
          <w:lang w:val="ru-RU" w:bidi="ru-RU"/>
        </w:rPr>
        <w:t xml:space="preserve">аботы общественных пространств подтолкнул сектор к необходимости "перезапуска": поиска новых источников инвестиций (использование возможностей по привлечению грантов, выдаваемых федеральными и частными фондами, крупными государственными корпорациями в рамк</w:t>
      </w:r>
      <w:r>
        <w:rPr>
          <w:rFonts w:ascii="Arial" w:hAnsi="Arial" w:cs="Arial" w:eastAsia="Arial"/>
          <w:sz w:val="20"/>
          <w:szCs w:val="20"/>
          <w:lang w:val="ru-RU" w:bidi="ru-RU"/>
        </w:rPr>
        <w:t xml:space="preserve">ах программ поддержки проектов социальной значимости (ПАО "Газпром", ПАО "Газпромнефть", РУСАЛ, ОАО "РЖД", ТВЭЛ, Лукойл и др.); использования инструмента фондов целевого капитала (эндаумент-фондов); создания новых форматов (творческие кластеры и арт-простр</w:t>
      </w:r>
      <w:r>
        <w:rPr>
          <w:rFonts w:ascii="Arial" w:hAnsi="Arial" w:cs="Arial" w:eastAsia="Arial"/>
          <w:sz w:val="20"/>
          <w:szCs w:val="20"/>
          <w:lang w:val="ru-RU" w:bidi="ru-RU"/>
        </w:rPr>
        <w:t xml:space="preserve">анства - общедоступных территорий, предназначенных для свободного самовыражения, творческой деятельности и взаимодействия людей; современные выставочные комплексы, интерактивные музеи и библиотеки, культурные парки, букинистические комплексы); реализации н</w:t>
      </w:r>
      <w:r>
        <w:rPr>
          <w:rFonts w:ascii="Arial" w:hAnsi="Arial" w:cs="Arial" w:eastAsia="Arial"/>
          <w:sz w:val="20"/>
          <w:szCs w:val="20"/>
          <w:lang w:val="ru-RU" w:bidi="ru-RU"/>
        </w:rPr>
        <w:t xml:space="preserve">овых культурных проектов. Учитывая дальнейшее снижение возможностей федерального и областного бюджета, сектору нужны частные инвестиции и средства институтов развития. Необходимо предусмотреть формат перехода к стандартам безопасных культурных пространств.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как креативный регион, привлекающий ст</w:t>
      </w:r>
      <w:r>
        <w:rPr>
          <w:rFonts w:ascii="Arial" w:hAnsi="Arial" w:cs="Arial" w:eastAsia="Arial"/>
          <w:sz w:val="20"/>
          <w:szCs w:val="20"/>
          <w:lang w:val="ru-RU" w:bidi="ru-RU"/>
        </w:rPr>
        <w:t xml:space="preserve">удентов, исследователей, инженеров, разработчиков и ИТ-специалистов, квалифицированные рабочие кадры, туристов из других регионов России и зарубежных стран, должен обладать современной средой, основанной на сочетании традиций и высоких технологий и ориенти</w:t>
      </w:r>
      <w:r>
        <w:rPr>
          <w:rFonts w:ascii="Arial" w:hAnsi="Arial" w:cs="Arial" w:eastAsia="Arial"/>
          <w:sz w:val="20"/>
          <w:szCs w:val="20"/>
          <w:lang w:val="ru-RU" w:bidi="ru-RU"/>
        </w:rPr>
        <w:t xml:space="preserve">рованной на жителей и гостей с разными предпочтениями и культурными ценностями. Используя накопленный потенциал и достижения по развитию культуры, а также учитывая возникшие ограничения (в первую очередь бюджетные) в связи с пандемией, Томская область в бл</w:t>
      </w:r>
      <w:r>
        <w:rPr>
          <w:rFonts w:ascii="Arial" w:hAnsi="Arial" w:cs="Arial" w:eastAsia="Arial"/>
          <w:sz w:val="20"/>
          <w:szCs w:val="20"/>
          <w:lang w:val="ru-RU" w:bidi="ru-RU"/>
        </w:rPr>
        <w:t xml:space="preserve">ижайшее десятилетие должна направить усилия на формирование новой, актуальной среды и культуры, соответствующей ожиданиям и потребностям креативного класса, жителей и гостей региона, в связи с чем необходима реализация дополнительного направления развития.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Новая городская культура, охватывающая территорию всей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Томской области (создание пространства современной,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креативной культуры, актуальных форматов городского</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потребления)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создания кластера цифровой и медиакультуры, организаций, не привязанных к физическим пространствам. Поддержка производителей медиа- и интернет-контента.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комплекса</w:t>
      </w:r>
      <w:r>
        <w:rPr>
          <w:rFonts w:ascii="Arial" w:hAnsi="Arial" w:cs="Arial" w:eastAsia="Arial"/>
          <w:sz w:val="20"/>
          <w:szCs w:val="20"/>
          <w:lang w:val="ru-RU" w:bidi="ru-RU"/>
        </w:rPr>
        <w:t xml:space="preserve"> проектных мероприятий совместно с ведущими культурными институциями региона в формате "Новая культурная география", предполагающая выход за пределы традиционных помещений учреждений культуры, поиск новых форматов монетизации креативных и культурных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новых культурных продуктов, совмещающих современный актуальный контент и вовлечение широкого круга горожан, в форматах "Открытая культура": музеи на городских улицах.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новых культурных маршрутов - культурных "продуктов" для жителей и г</w:t>
      </w:r>
      <w:r>
        <w:rPr>
          <w:rFonts w:ascii="Arial" w:hAnsi="Arial" w:cs="Arial" w:eastAsia="Arial"/>
          <w:sz w:val="20"/>
          <w:szCs w:val="20"/>
          <w:lang w:val="ru-RU" w:bidi="ru-RU"/>
        </w:rPr>
        <w:t xml:space="preserve">остей региона, охватывающих как традиционные культурные институции, так и новые молодежные и студенческие креативные площадки, места посещения молодежи. Включение городских кафе, творческих студий, студенческих сообществ в проектирование таких пространств.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Привлечение студенческих групп к проектированию новых культурных продуктов и коммерческих форматов, поддержка молодежных и студенческих конкурсов.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образовательных проектов в сфере дизайна и креативных индустрий в региональных образовательных организациях высшего образования и колледжах.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Работа с обратной связью населения на территориях муниципальных районов, распространение культурных и событийных форматов с учетом потребностей и ожиданий жителей.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Проведение капитального ремонта объектов культуры на территориях муниципальных районов.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Результатом выполнения задачи станет создание нового облика Томской области со средой нового качества с разнообразным культурным наполнением, которая позволит удержать творческий креативный класс в регионе. Индикаторами выполнение зад</w:t>
      </w:r>
      <w:r>
        <w:rPr>
          <w:rFonts w:ascii="Arial" w:hAnsi="Arial" w:cs="Arial" w:eastAsia="Arial"/>
          <w:sz w:val="20"/>
          <w:szCs w:val="20"/>
          <w:lang w:val="ru-RU" w:bidi="ru-RU"/>
        </w:rPr>
        <w:t xml:space="preserve">ачи станут рост количества созданных (реконструированных) и капитально отремонтированных объектов организаций культуры с 19 ед. в 2020 г. до 28 ед. в 2030 г., а также рост числа посещений культурных мероприятий с 4137 тыс. в 2020 г. до 32306 тыс. в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3.8. Повысить качество и доступность социальной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поддержки и социального обслуживания населения,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в том числе детей</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Стратегия ориентирована </w:t>
      </w:r>
      <w:r>
        <w:rPr>
          <w:rFonts w:ascii="Arial" w:hAnsi="Arial" w:cs="Arial" w:eastAsia="Arial"/>
          <w:sz w:val="20"/>
          <w:szCs w:val="20"/>
          <w:lang w:val="ru-RU" w:bidi="ru-RU"/>
        </w:rPr>
        <w:t xml:space="preserve">на последовательную реализацию системных мер по развитию сферы социальной поддержки и социального обслуживания населения на основе сбалансированной реализации ключевых функций в государственных учреждениях и субъектах формирующегося рынка социальных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фокусе социальной политики Томской области - профилактика социального сиротства и снижение уровня бедност</w:t>
      </w:r>
      <w:r>
        <w:rPr>
          <w:rFonts w:ascii="Arial" w:hAnsi="Arial" w:cs="Arial" w:eastAsia="Arial"/>
          <w:sz w:val="20"/>
          <w:szCs w:val="20"/>
          <w:lang w:val="ru-RU" w:bidi="ru-RU"/>
        </w:rPr>
        <w:t xml:space="preserve">и путем повышения уровня социального обеспечения и адресности мер социальной поддержки (за счет ориентации федеральной политики на индексацию социальных пособий и льгот не ниже уровня инфляции, дальнейшее расширение практики социального контракта), создани</w:t>
      </w:r>
      <w:r>
        <w:rPr>
          <w:rFonts w:ascii="Arial" w:hAnsi="Arial" w:cs="Arial" w:eastAsia="Arial"/>
          <w:sz w:val="20"/>
          <w:szCs w:val="20"/>
          <w:lang w:val="ru-RU" w:bidi="ru-RU"/>
        </w:rPr>
        <w:t xml:space="preserve">я условий для роста благосостояния получателей мер социальной поддержки, в том числе семей с детьми (среди них меры, нацеленные на стимулирование рождаемости, в том числе малочисленными поколениями), обеспечения роста доходов низкодоходных групп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 основе федерального и регионального законодательства в Томской области сформирована материально-техническая база, кадровый потенциал, система управле</w:t>
      </w:r>
      <w:r>
        <w:rPr>
          <w:rFonts w:ascii="Arial" w:hAnsi="Arial" w:cs="Arial" w:eastAsia="Arial"/>
          <w:sz w:val="20"/>
          <w:szCs w:val="20"/>
          <w:lang w:val="ru-RU" w:bidi="ru-RU"/>
        </w:rPr>
        <w:t xml:space="preserve">ния и сеть учреждений различных типов и форм, осуществляющих социальное обслуживание населения. Благодаря внедрению информационной системы "Дети и семьи, нуждающиеся в государственной защите" была создана консолидированная база данных о получателях помощи.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регионе существует более 70 мер социальной поддержки, основными получателями которых являются граждане стар</w:t>
      </w:r>
      <w:r>
        <w:rPr>
          <w:rFonts w:ascii="Arial" w:hAnsi="Arial" w:cs="Arial" w:eastAsia="Arial"/>
          <w:sz w:val="20"/>
          <w:szCs w:val="20"/>
          <w:lang w:val="ru-RU" w:bidi="ru-RU"/>
        </w:rPr>
        <w:t xml:space="preserve">шего поколения и семьи с детьми. За последнее время система соцзащиты была перестроена на адресный характер мер социальной поддержки на основе масштабирования наиболее эффективных практик Российской Федерации, развивая формат социального контракта, стимули</w:t>
      </w:r>
      <w:r>
        <w:rPr>
          <w:rFonts w:ascii="Arial" w:hAnsi="Arial" w:cs="Arial" w:eastAsia="Arial"/>
          <w:sz w:val="20"/>
          <w:szCs w:val="20"/>
          <w:lang w:val="ru-RU" w:bidi="ru-RU"/>
        </w:rPr>
        <w:t xml:space="preserve">руя предпринимательскую инициативу, оказание помощи в поиске работы, переобучении. Действует единая информационная система по защите детей и семей, реабилитационная работа ведется на межведомственном уровне. Все эти мероприятия показали свою эффективность.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Однако одной из главных проблем региона, на решение кот</w:t>
      </w:r>
      <w:r>
        <w:rPr>
          <w:rFonts w:ascii="Arial" w:hAnsi="Arial" w:cs="Arial" w:eastAsia="Arial"/>
          <w:sz w:val="20"/>
          <w:szCs w:val="20"/>
          <w:lang w:val="ru-RU" w:bidi="ru-RU"/>
        </w:rPr>
        <w:t xml:space="preserve">орой направлена действующая система мероприятий, является сохранение высокого уровня бедности, большое число лиц с доходами ниже прожиточного минимума. В 2021 - 2024 годах планируется масштабирование наиболее эффективных практик реализации данных проектов </w:t>
      </w:r>
      <w:r>
        <w:rPr>
          <w:rFonts w:ascii="Arial" w:hAnsi="Arial" w:cs="Arial" w:eastAsia="Arial"/>
          <w:sz w:val="20"/>
          <w:szCs w:val="20"/>
          <w:lang w:val="ru-RU" w:bidi="ru-RU"/>
        </w:rPr>
        <w:t xml:space="preserve">на уровне Российской Федерации. Также с 2021 года планируется переход на новую модель установления прожиточного минимума, предусматривающую его повышение &lt;32&gt;, что, с одной стороны, является основанием для увеличения размера социальных выплат, с другой - о</w:t>
      </w:r>
      <w:r>
        <w:rPr>
          <w:rFonts w:ascii="Arial" w:hAnsi="Arial" w:cs="Arial" w:eastAsia="Arial"/>
          <w:sz w:val="20"/>
          <w:szCs w:val="20"/>
          <w:lang w:val="ru-RU" w:bidi="ru-RU"/>
        </w:rPr>
        <w:t xml:space="preserve">буславливает необходимость дополнительной проработки мер, направленных на борьбу с бедностью. Работа, направленная на борьбу с бедностью, должна вестись не только в рамках решения задач, непосредственно связанных с социальной поддержкой, но и за счет разви</w:t>
      </w:r>
      <w:r>
        <w:rPr>
          <w:rFonts w:ascii="Arial" w:hAnsi="Arial" w:cs="Arial" w:eastAsia="Arial"/>
          <w:sz w:val="20"/>
          <w:szCs w:val="20"/>
          <w:lang w:val="ru-RU" w:bidi="ru-RU"/>
        </w:rPr>
        <w:t xml:space="preserve">тия высокотехнологичных секторов экономики и создания высокопроизводительных рабочих мест, поддержки предпринимательства, создания рабочих мест для молодежи и пожилых, желающих сохранять экономическую активность, обеспечения сбалансированности рынка труда.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&lt;32&gt; Базой для расчета станет не стоимость потребительской корзины, а среднедушевой доход.</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Кроме того, значимым направлением в сфере социальной поддержки также является профилактика социального сиротства, ориентированная на сокращение доли детей-сирот и детей, оставшихся без попечения родителей, в частности, за счет: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развития системы работы с замещающими семьями, повышение эффективности работы по профилактике возвратов детей из приемных семей;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разработки и внедрения новых социальных технологий работы с семьями, находящимися в трудной жизненной ситуации, и с замещающими семьями;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повышения качества и доступности социального обслуживания несовершеннолетних и семей с детьми, находящихся в трудной жизненной ситуации.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Решение задачи повышения качества и доступности социальной поддержки и социального обслуживания населения предполагает также: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стационарозамещающих 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доступности оказания социальных услуг, в том числе для семей с детьми, проживающих в отдаленных населенных пунктах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Расширение сотрудничества с социально ориентированными некоммерческими организациями (СО НКО) в целях создания условий для предоставления социальных услуг детям и семьям с детьми СО НКО.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Совершенствование механизмов реализации на территории Томской области технологии межведомственного взаимодействия при выявлении детей, нуждающихся в государственной защите, на ранней стадии семейного неблагополучия и технологии работы со "случаем".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Разработка и внедрение новых форм и методов, направленных на повышение качества предоставления социальных услуг детям и семьям с детьми, находящимся в трудной жизненной ситуации.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условий для совершенствования кадрового обеспечения сферы и повышения профессионального уровня сотрудников учреждений социального обслуживания.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 по развитию инфраструктуры, не в полной мере задействованной в настоящий период (досуговая, образовательная, туристская), специализированных программ поддержки активного долголетия для жителей старших возрастов.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реализации регионального проекта "Финансовая поддержка семей при рождении детей" осуществляются мероприятия, нацеленные на стимулирование рождаемости: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предоставление ежемесячных выплат в связи с рождением (усыновлением) первого ребенка;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предоставление ежемесячных выплат в случае рождения третьего ребенка или последующих детей до достижения ребенком возраста 3 лет.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Специфика Томской области такова, что больш</w:t>
      </w:r>
      <w:r>
        <w:rPr>
          <w:rFonts w:ascii="Arial" w:hAnsi="Arial" w:cs="Arial" w:eastAsia="Arial"/>
          <w:sz w:val="20"/>
          <w:szCs w:val="20"/>
          <w:lang w:val="ru-RU" w:bidi="ru-RU"/>
        </w:rPr>
        <w:t xml:space="preserve">ая часть жителей - приезжие студенты, в связи с этим реализуемые меры уже сегодня влияют на показатель повышения рождаемости. При улучшении экономической обстановки возможно введение дополнительных мер, направленных на поддержку граждан при рождении детей.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2020 году на федеральном уров</w:t>
      </w:r>
      <w:r>
        <w:rPr>
          <w:rFonts w:ascii="Arial" w:hAnsi="Arial" w:cs="Arial" w:eastAsia="Arial"/>
          <w:sz w:val="20"/>
          <w:szCs w:val="20"/>
          <w:lang w:val="ru-RU" w:bidi="ru-RU"/>
        </w:rPr>
        <w:t xml:space="preserve">не были приняты беспрецедентные меры по дополнительной социальной защите населения, стабилизации доходов граждан, обеспечению детей и пожилых самым необходимым в период пандемии. Была развернута масштабная система социальной поддержки, волонтерской помощи.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Одновременно с этими важными мерами поддержки населения ситуация 2020 года принесла и новые риски сохранения общественной стабильности и безопасности, которые требуют реак</w:t>
      </w:r>
      <w:r>
        <w:rPr>
          <w:rFonts w:ascii="Arial" w:hAnsi="Arial" w:cs="Arial" w:eastAsia="Arial"/>
          <w:sz w:val="20"/>
          <w:szCs w:val="20"/>
          <w:lang w:val="ru-RU" w:bidi="ru-RU"/>
        </w:rPr>
        <w:t xml:space="preserve">ции со стороны региона. Общественное здоровье в России в целом сегодня находится в состоянии сильного стресса как от сложной ситуации с эпидемиологической обстановкой, так и по социально-экономическим причинам (потеря работы, снижение доходов) &lt;33&gt;. Особые</w:t>
      </w:r>
      <w:r>
        <w:rPr>
          <w:rFonts w:ascii="Arial" w:hAnsi="Arial" w:cs="Arial" w:eastAsia="Arial"/>
          <w:sz w:val="20"/>
          <w:szCs w:val="20"/>
          <w:lang w:val="ru-RU" w:bidi="ru-RU"/>
        </w:rPr>
        <w:t xml:space="preserve"> риски представляют профессиональные группы, на которых эпидемия отразилась сильнее всего, - медики, учителя, а также наименее защищенные социальные группы - пожилые, семьи с детьми, выпускники школ и образовательных организаций высшего образования, лица с</w:t>
      </w:r>
      <w:r>
        <w:rPr>
          <w:rFonts w:ascii="Arial" w:hAnsi="Arial" w:cs="Arial" w:eastAsia="Arial"/>
          <w:sz w:val="20"/>
          <w:szCs w:val="20"/>
          <w:lang w:val="ru-RU" w:bidi="ru-RU"/>
        </w:rPr>
        <w:t xml:space="preserve"> хроническими заболеваниями. С учетом обозначенных общенациональных социальных трендов, актуальных и для Томской области, в регионе требуется реализация обновленной программы социальной защиты населения, дополненной мерами по стабилизации в новых условиях.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&lt;33&gt; По опросам ВЦИОМ, в 2020 - 2021 гг. по степени тревожности общественное здоровье в России находится на уровне 1998 года. Наблюдается фактическ</w:t>
      </w:r>
      <w:r>
        <w:rPr>
          <w:rFonts w:ascii="Arial" w:hAnsi="Arial" w:cs="Arial" w:eastAsia="Arial"/>
          <w:sz w:val="20"/>
          <w:szCs w:val="20"/>
          <w:lang w:val="ru-RU" w:bidi="ru-RU"/>
        </w:rPr>
        <w:t xml:space="preserve">ий рост показателей депрессивных состояний, тревожности, обострение хроников. Зафиксирован рост домашнего насилия, алкогольной и наркотической зависимости. Такая ситуация будет сохраняться в периоде 1 - 2 года после прохождения эпидемиологического периода.</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4"/>
      </w:pPr>
      <w:r>
        <w:rPr>
          <w:rFonts w:ascii="Arial" w:hAnsi="Arial" w:cs="Arial" w:eastAsia="Arial"/>
          <w:b/>
          <w:bCs/>
          <w:sz w:val="20"/>
          <w:szCs w:val="20"/>
          <w:lang w:val="ru-RU" w:bidi="ru-RU"/>
        </w:rPr>
        <w:t xml:space="preserve">Новая программа социальной защиты населения, дополненная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мерами по стабилизации в новых условиях</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наименее защищенных категорий граждан, семей с низкими доходами, включая многодетные и неполные семьи. Оказание превентивной помощи семьям с детьми, родители которых лишились дохода, встали на учет по безработице.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Стимулиро</w:t>
      </w:r>
      <w:r>
        <w:rPr>
          <w:rFonts w:ascii="Arial" w:hAnsi="Arial" w:cs="Arial" w:eastAsia="Arial"/>
          <w:sz w:val="20"/>
          <w:szCs w:val="20"/>
          <w:lang w:val="ru-RU" w:bidi="ru-RU"/>
        </w:rPr>
        <w:t xml:space="preserve">вание социально ориентированной предпринимательской активности, поддержка некоммерческих проектов социально ориентированных организаций, поддержка социального предпринимательства, системы наставничества для поддержки начинающих социальных предпринимателей.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системы центров психологической помощи, переход н</w:t>
      </w:r>
      <w:r>
        <w:rPr>
          <w:rFonts w:ascii="Arial" w:hAnsi="Arial" w:cs="Arial" w:eastAsia="Arial"/>
          <w:sz w:val="20"/>
          <w:szCs w:val="20"/>
          <w:lang w:val="ru-RU" w:bidi="ru-RU"/>
        </w:rPr>
        <w:t xml:space="preserve">а службу многоканальной (включая социальные сети) и многопрофильной поддержки социально незащищенных граждан, реабилитации граждан по направлениям медицинской психологии, помощи в экстремальных ситуациях, а также по группам доверия (в том числе для детей).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Разработка и реализация мер по профилактике семейного насилия.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профессиональных социальн</w:t>
      </w:r>
      <w:r>
        <w:rPr>
          <w:rFonts w:ascii="Arial" w:hAnsi="Arial" w:cs="Arial" w:eastAsia="Arial"/>
          <w:sz w:val="20"/>
          <w:szCs w:val="20"/>
          <w:lang w:val="ru-RU" w:bidi="ru-RU"/>
        </w:rPr>
        <w:t xml:space="preserve">ых сетей, ресурсных групп или групп поддержки по направлениям по адаптации к изменениям отдельным категориям: медицинским работникам, учителям, студентам и молодежи (в том числе находящимся на карантине), родителям дошкольников и учеников младших классов;.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создания на базе образовательных организаций высшего образования г. Томска по аналогии с "юридическими клиниками", учебными "мед</w:t>
      </w:r>
      <w:r>
        <w:rPr>
          <w:rFonts w:ascii="Arial" w:hAnsi="Arial" w:cs="Arial" w:eastAsia="Arial"/>
          <w:sz w:val="20"/>
          <w:szCs w:val="20"/>
          <w:lang w:val="ru-RU" w:bidi="ru-RU"/>
        </w:rPr>
        <w:t xml:space="preserve">ицинскими клиниками", "социальных клиник", центров психологической помощи гражданам, включение как обязательного практического предмета волонтерской деятельности и социальных стажировок студентам образовательных организаций высшего образования и колледжей.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кампании по формированию позитивных социальных паттернов, оптимальных стилей поведения в новых условиях, которые дают возможность реализовывать себя, принимать участие в общественной жизни, даже в условиях ограничений.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Разработка и реализация программ активного отдыха и спортивного образа жизни, профилактика ожирения и гиподинамии в период стрессов.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Разработка и внедрение стандартов психологической безопасности и общественной стабильности, системы минимизации последствий общественных стрессов.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Индикаторами выполнения задачи станут снижение уровня бедности с 14,4% в 2020 г. до </w:t>
      </w:r>
      <w:r>
        <w:rPr>
          <w:rFonts w:ascii="Arial" w:hAnsi="Arial" w:cs="Arial" w:eastAsia="Arial"/>
          <w:sz w:val="20"/>
          <w:szCs w:val="20"/>
          <w:lang w:val="ru-RU" w:bidi="ru-RU"/>
        </w:rPr>
        <w:t xml:space="preserve">7,4% к 2030 г., рост доли мер социальной поддержки, предоставляемых с учетом критериев нуждаемости, на 13,3% к 2030 г. по отношению к уровню 2020 г., снижение доли детей-сирот и детей, оставшихся без попечения родителей, с 1,97% в 2020 г. до 1,5% к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Цель 4. Сбалансированное территориальное развитие, в т.ч.</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за счет развития инфраструктуры в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Сбалансированное территориальное развитие предполагает реализацию мероприяти</w:t>
      </w:r>
      <w:r>
        <w:rPr>
          <w:rFonts w:ascii="Arial" w:hAnsi="Arial" w:cs="Arial" w:eastAsia="Arial"/>
          <w:sz w:val="20"/>
          <w:szCs w:val="20"/>
          <w:lang w:val="ru-RU" w:bidi="ru-RU"/>
        </w:rPr>
        <w:t xml:space="preserve">й, направленных на обеспечение доступа жителей всех районов Томской области к качественным рабочим местам, поддержку роста реальных доходов населения и обеспечение единых условий развития малого и среднего бизнеса, прежде всего в секторах услуг, наиболее з</w:t>
      </w:r>
      <w:r>
        <w:rPr>
          <w:rFonts w:ascii="Arial" w:hAnsi="Arial" w:cs="Arial" w:eastAsia="Arial"/>
          <w:sz w:val="20"/>
          <w:szCs w:val="20"/>
          <w:lang w:val="ru-RU" w:bidi="ru-RU"/>
        </w:rPr>
        <w:t xml:space="preserve">начимых для повышения качества жизни граждан, проживающих в муниципальных образованиях. При этом необходимо учитывать специфику их удаленности от Томской агломерации и основных транспортных коридоров и инфраструктуры (социальной, транспортной, инженерной).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настоящий момент наблюдается разрыв в социальном, экономическом, инвестиционном развитии между муниципальными районами юга и севера области, а пространственное развитие не удалось перевести в ре</w:t>
      </w:r>
      <w:r>
        <w:rPr>
          <w:rFonts w:ascii="Arial" w:hAnsi="Arial" w:cs="Arial" w:eastAsia="Arial"/>
          <w:sz w:val="20"/>
          <w:szCs w:val="20"/>
          <w:lang w:val="ru-RU" w:bidi="ru-RU"/>
        </w:rPr>
        <w:t xml:space="preserve">ализацию инвестиционных планов на всей территории области. В связи с этим управление пространственным развитием необходимо сфокусировать на формировании инфраструктурной сети внутри региона и на встраивании Томской агломерации в Южно-Сибирский макрорегион.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Выполнение цели будет сопровождаться снижением энергоемкости валового регионального продукта с 92,2% в 2020 г. до 59,25% к 2030 г., ростом протяженности дорог общего пользов</w:t>
      </w:r>
      <w:r>
        <w:rPr>
          <w:rFonts w:ascii="Arial" w:hAnsi="Arial" w:cs="Arial" w:eastAsia="Arial"/>
          <w:sz w:val="20"/>
          <w:szCs w:val="20"/>
          <w:lang w:val="ru-RU" w:bidi="ru-RU"/>
        </w:rPr>
        <w:t xml:space="preserve">ания с твердым покрытием с 7519,4 км в 2020 году до 7533,0 км к 2030 году, ростом доли домохозяйств, которым обеспечена возможность широкополосного доступа к информационно-телекоммуникационной сети Интернет, на 28,3% к 2030 г. по отношению к уровню 2020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4.1. Обеспечить устойчивое развитие муниципальных</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образований Томской области, в т.ч. сельских территорий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региональной политики муниципального ра</w:t>
      </w:r>
      <w:r>
        <w:rPr>
          <w:rFonts w:ascii="Arial" w:hAnsi="Arial" w:cs="Arial" w:eastAsia="Arial"/>
          <w:sz w:val="20"/>
          <w:szCs w:val="20"/>
          <w:lang w:val="ru-RU" w:bidi="ru-RU"/>
        </w:rPr>
        <w:t xml:space="preserve">звития - создание сбалансированной системы расселения, где каждый муниципалитет получит адресные инструменты и возможности развития, в зависимости от текущего уровня, потенциала и ресурсных возможностей. Планы развития муниципальных образований должны найт</w:t>
      </w:r>
      <w:r>
        <w:rPr>
          <w:rFonts w:ascii="Arial" w:hAnsi="Arial" w:cs="Arial" w:eastAsia="Arial"/>
          <w:sz w:val="20"/>
          <w:szCs w:val="20"/>
          <w:lang w:val="ru-RU" w:bidi="ru-RU"/>
        </w:rPr>
        <w:t xml:space="preserve">и свое отражение во всех региональных программах и проектах развития, а муниципальные команды должны получить возможность реализации собственных стратегических инициатив. Приоритетным для обеспечения устойчивого развития муниципальных образований является </w:t>
      </w:r>
      <w:r>
        <w:rPr>
          <w:rFonts w:ascii="Arial" w:hAnsi="Arial" w:cs="Arial" w:eastAsia="Arial"/>
          <w:sz w:val="20"/>
          <w:szCs w:val="20"/>
          <w:lang w:val="ru-RU" w:bidi="ru-RU"/>
        </w:rPr>
        <w:t xml:space="preserve">формирование благоприятных условий для развития сельских территорий, стабилизации численности населения за счет повышения качества жизни и формирования новых промышленных центров, обеспечивающих занятость и вклад в социально-экономическое развитие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 учетом неоднородного развития территории Томской области в ре</w:t>
      </w:r>
      <w:r>
        <w:rPr>
          <w:rFonts w:ascii="Arial" w:hAnsi="Arial" w:cs="Arial" w:eastAsia="Arial"/>
          <w:sz w:val="20"/>
          <w:szCs w:val="20"/>
          <w:lang w:val="ru-RU" w:bidi="ru-RU"/>
        </w:rPr>
        <w:t xml:space="preserve">гионе были накоплены инфраструктурные дефициты (социальные, транспортные, инженерные, производственные), в частности в развитии сельских территорий, которые негативно воздействуют на качество жизни населения и привлекательность региона для инвестиций &lt;34&gt;.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&lt;34&gt; По оценке Министерства сельского хозяйства Российской Федерации, Томская область на 2020 г. соответствует неаграрному типу регионов по социально-экономическим характеристикам сельских территорий.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Развитие муниципалитетов будет скорректировано п</w:t>
      </w:r>
      <w:r>
        <w:rPr>
          <w:rFonts w:ascii="Arial" w:hAnsi="Arial" w:cs="Arial" w:eastAsia="Arial"/>
          <w:sz w:val="20"/>
          <w:szCs w:val="20"/>
          <w:lang w:val="ru-RU" w:bidi="ru-RU"/>
        </w:rPr>
        <w:t xml:space="preserve">ри актуализации муниципальных стратегий с учетом обновленных региональных приоритетов. Стратегии будут отражать перспективную специализацию каждого муниципального образования с учетом накопленного потенциала и ключевых инвестиционных проектов до 2030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Текущая си</w:t>
      </w:r>
      <w:r>
        <w:rPr>
          <w:rFonts w:ascii="Arial" w:hAnsi="Arial" w:cs="Arial" w:eastAsia="Arial"/>
          <w:sz w:val="20"/>
          <w:szCs w:val="20"/>
          <w:lang w:val="ru-RU" w:bidi="ru-RU"/>
        </w:rPr>
        <w:t xml:space="preserve">туация, а также новые задачи экономического развития по-разному будут отражаться на муниципальном уровне. Необходима актуализация возможностей и ограничений развития, поиск решения обострившихся проблем, намеченных на уровне различных по своему потенциалу </w:t>
      </w:r>
      <w:r>
        <w:rPr>
          <w:rFonts w:ascii="Arial" w:hAnsi="Arial" w:cs="Arial" w:eastAsia="Arial"/>
          <w:sz w:val="20"/>
          <w:szCs w:val="20"/>
          <w:lang w:val="ru-RU" w:bidi="ru-RU"/>
        </w:rPr>
        <w:t xml:space="preserve">экономических поясов. Не меняя целевые установки программ муниципалитетов, портфель проектов и механизмов развития муниципальных образований, необходимо обновить, в том числе исходя из реальной динамики и стратегических вызовов развития в следующие 10 лет.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Во-первых, муниципалитеты Томской области будут демонстрировать разную степень устойчивости экономической базы в зависимости от факторов внешней среды. От</w:t>
      </w:r>
      <w:r>
        <w:rPr>
          <w:rFonts w:ascii="Arial" w:hAnsi="Arial" w:cs="Arial" w:eastAsia="Arial"/>
          <w:sz w:val="20"/>
          <w:szCs w:val="20"/>
          <w:lang w:val="ru-RU" w:bidi="ru-RU"/>
        </w:rPr>
        <w:t xml:space="preserve">носительную стабильность в новых условиях имеют промышленно развитые районы Томской агломерации, однако их динамика в последние годы обеспечена ограниченным числом высокотехнологичных секторов, тогда как в целом промышленная база не росла, а ряд отраслей у</w:t>
      </w:r>
      <w:r>
        <w:rPr>
          <w:rFonts w:ascii="Arial" w:hAnsi="Arial" w:cs="Arial" w:eastAsia="Arial"/>
          <w:sz w:val="20"/>
          <w:szCs w:val="20"/>
          <w:lang w:val="ru-RU" w:bidi="ru-RU"/>
        </w:rPr>
        <w:t xml:space="preserve">ступил позиции другим центрам промышленного роста Сибири. Вклад в общий объем производства по Сибири за последние 5 лет остался на уровне 3%. Ядром роста Томской агломерации традиционно является сильный научно-образовательный комплекс, который укрепляет св</w:t>
      </w:r>
      <w:r>
        <w:rPr>
          <w:rFonts w:ascii="Arial" w:hAnsi="Arial" w:cs="Arial" w:eastAsia="Arial"/>
          <w:sz w:val="20"/>
          <w:szCs w:val="20"/>
          <w:lang w:val="ru-RU" w:bidi="ru-RU"/>
        </w:rPr>
        <w:t xml:space="preserve">ою специализацию, определяет лицо региона. Томская агломерация при условии создания соответствующей инфраструктуры может стать точкой новой промышленной специализации в сфере электроники, фармацевтики, новых материалов и тонкой химии, энергетики, медицины.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Среднюю устойчивость получают районы, где развиваются промышленные кластеры, основанные на лесном и сельском хозяйстве (Асиновский, Тегульдетский, Верхнекетский, Зырянский, Первомайский, Молчановский, Шегарский, Кривошеинский, Бакчарский, Колпашевский,</w:t>
      </w:r>
      <w:r>
        <w:rPr>
          <w:rFonts w:ascii="Arial" w:hAnsi="Arial" w:cs="Arial" w:eastAsia="Arial"/>
          <w:sz w:val="20"/>
          <w:szCs w:val="20"/>
          <w:lang w:val="ru-RU" w:bidi="ru-RU"/>
        </w:rPr>
        <w:t xml:space="preserve"> Кожевниковский, Чаинский районы). С одной стороны, в последние годы в них наблюдается оживление промышленных показателей и рост специализации на уровне Сибири (за последние 5 лет доля в продукции сельского хозяйства выросла с 4% до 5% от уровня по Сибири;</w:t>
      </w:r>
      <w:r>
        <w:rPr>
          <w:rFonts w:ascii="Arial" w:hAnsi="Arial" w:cs="Arial" w:eastAsia="Arial"/>
          <w:sz w:val="20"/>
          <w:szCs w:val="20"/>
          <w:lang w:val="ru-RU" w:bidi="ru-RU"/>
        </w:rPr>
        <w:t xml:space="preserve"> вклад в общий объем лесозаготовок увеличился с 4% до 5%), лесной и агропромышленный сектора показывают большую стабильность в контексте кризисных явлений. С другой стороны, эти районы зависят от реализации крупных, как правило, внешних инвестиционных прое</w:t>
      </w:r>
      <w:r>
        <w:rPr>
          <w:rFonts w:ascii="Arial" w:hAnsi="Arial" w:cs="Arial" w:eastAsia="Arial"/>
          <w:sz w:val="20"/>
          <w:szCs w:val="20"/>
          <w:lang w:val="ru-RU" w:bidi="ru-RU"/>
        </w:rPr>
        <w:t xml:space="preserve">ктов, имеют слабую собственную экономическую базу, сектор малого бизнеса и сферы услуг. Данным районам центрального и южного пояса необходимо встраиваться в промышленные кластеры глубокой переработки с опорой на малый и средний предпринимательский капитал.</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Наименьший уровень устойчивости складывается для у</w:t>
      </w:r>
      <w:r>
        <w:rPr>
          <w:rFonts w:ascii="Arial" w:hAnsi="Arial" w:cs="Arial" w:eastAsia="Arial"/>
          <w:sz w:val="20"/>
          <w:szCs w:val="20"/>
          <w:lang w:val="ru-RU" w:bidi="ru-RU"/>
        </w:rPr>
        <w:t xml:space="preserve">даленных территорий, где ситуация напрямую будет зависеть от ситуации на градообразующих предприятиях, а также от мировой конъюнктуры на сырье. В условиях низкой конъюнктуры складывается сложная ситуация в Александровском, Каргасокском, Парабельском района</w:t>
      </w:r>
      <w:r>
        <w:rPr>
          <w:rFonts w:ascii="Arial" w:hAnsi="Arial" w:cs="Arial" w:eastAsia="Arial"/>
          <w:sz w:val="20"/>
          <w:szCs w:val="20"/>
          <w:lang w:val="ru-RU" w:bidi="ru-RU"/>
        </w:rPr>
        <w:t xml:space="preserve">х, а также в городах Стрежевой и Кедровый. Этим муниципальным образованиям нужна ускоренная диверсификация, поддержка малого бизнеса и поддержка переориентации сервисной базы на работу с территориями, обладающими потенциалом для нового ресурсного освоения.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Во-вторых, в ближайшие годы следует ожидать усиление миграционных</w:t>
      </w:r>
      <w:r>
        <w:rPr>
          <w:rFonts w:ascii="Arial" w:hAnsi="Arial" w:cs="Arial" w:eastAsia="Arial"/>
          <w:sz w:val="20"/>
          <w:szCs w:val="20"/>
          <w:lang w:val="ru-RU" w:bidi="ru-RU"/>
        </w:rPr>
        <w:t xml:space="preserve"> потоков по направлению крупнейших многомиллионных агломераций, в том числе на уровне Сибири. Для агломерации "Томск - Северск - Томский район" складывается вызов повышения привлекательности для специалистов "мирового класса", конкурентоспособности для гло</w:t>
      </w:r>
      <w:r>
        <w:rPr>
          <w:rFonts w:ascii="Arial" w:hAnsi="Arial" w:cs="Arial" w:eastAsia="Arial"/>
          <w:sz w:val="20"/>
          <w:szCs w:val="20"/>
          <w:lang w:val="ru-RU" w:bidi="ru-RU"/>
        </w:rPr>
        <w:t xml:space="preserve">бального капитала по сравнению с крупнейшими городами страны. Необходимо обеспечить высокий уровень безопасности (в том числе экологической); доступность услуг здравоохранения, образования (в том числе профессионального); возможности современной занятости;</w:t>
      </w:r>
      <w:r>
        <w:rPr>
          <w:rFonts w:ascii="Arial" w:hAnsi="Arial" w:cs="Arial" w:eastAsia="Arial"/>
          <w:sz w:val="20"/>
          <w:szCs w:val="20"/>
          <w:lang w:val="ru-RU" w:bidi="ru-RU"/>
        </w:rPr>
        <w:t xml:space="preserve"> культурного досуга, эстетической среды, перспективных проектов развития. Для малых городов и районов Томской области возможно ухудшение демографической и миграционной ситуации, в соответствии с "базовым миграционным трендом" - миграцией населения в крупне</w:t>
      </w:r>
      <w:r>
        <w:rPr>
          <w:rFonts w:ascii="Arial" w:hAnsi="Arial" w:cs="Arial" w:eastAsia="Arial"/>
          <w:sz w:val="20"/>
          <w:szCs w:val="20"/>
          <w:lang w:val="ru-RU" w:bidi="ru-RU"/>
        </w:rPr>
        <w:t xml:space="preserve">йшие мегаполисы и на территории с благоприятным климатом &lt;35&gt;. В этой связи существуют риски оттока населения из малых городов и поселков с соответствующей потерей эффективности социального и бюджетного обеспечения. Вторым вариантом может стать активная ми</w:t>
      </w:r>
      <w:r>
        <w:rPr>
          <w:rFonts w:ascii="Arial" w:hAnsi="Arial" w:cs="Arial" w:eastAsia="Arial"/>
          <w:sz w:val="20"/>
          <w:szCs w:val="20"/>
          <w:lang w:val="ru-RU" w:bidi="ru-RU"/>
        </w:rPr>
        <w:t xml:space="preserve">грационная политика на уровне муниципальных образований с обеспечением социальной адаптации и интеграции мигрантов, что потребует усиления мероприятий культурной и социальной политики для мигрантов и создания рабочих мест. Ключевое направление развития гор</w:t>
      </w:r>
      <w:r>
        <w:rPr>
          <w:rFonts w:ascii="Arial" w:hAnsi="Arial" w:cs="Arial" w:eastAsia="Arial"/>
          <w:sz w:val="20"/>
          <w:szCs w:val="20"/>
          <w:lang w:val="ru-RU" w:bidi="ru-RU"/>
        </w:rPr>
        <w:t xml:space="preserve">одов Томской области - создание комфортной среды, что необходимо трактовать шире, чем просто благоустройство. Требуется обеспечить в малых городах и сельской местности создание плотной деятельностной среды, драйвером которой станет местный предприниматель.</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&lt;35&gt; Стагнация периферийных промышленных и региональных центров наряду с сельской системой расселения является базовым трендом системы расселения в России и характерна для Сибири в целом.</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В-третьих, тенденции пространственного развития Южно-Сибирского</w:t>
      </w:r>
      <w:r>
        <w:rPr>
          <w:rFonts w:ascii="Arial" w:hAnsi="Arial" w:cs="Arial" w:eastAsia="Arial"/>
          <w:sz w:val="20"/>
          <w:szCs w:val="20"/>
          <w:lang w:val="ru-RU" w:bidi="ru-RU"/>
        </w:rPr>
        <w:t xml:space="preserve"> макрорегиона, которые зависят от раскрытия ресурсной базы, формирования территорий нового освоения, а также новых деловых центров, создают возможности для интеграции в процессы роста муниципальных образований по новым основаниям. Так, потенциал роста возн</w:t>
      </w:r>
      <w:r>
        <w:rPr>
          <w:rFonts w:ascii="Arial" w:hAnsi="Arial" w:cs="Arial" w:eastAsia="Arial"/>
          <w:sz w:val="20"/>
          <w:szCs w:val="20"/>
          <w:lang w:val="ru-RU" w:bidi="ru-RU"/>
        </w:rPr>
        <w:t xml:space="preserve">икает у районов, приближенных к нефтедобыче, районов рекреационной и продовольственной функций в отношении растущих крупных центров (прежде всего по отношению к Томской агломерации и центрам соседних регионов). Для реализации этого потенциала необходимо ра</w:t>
      </w:r>
      <w:r>
        <w:rPr>
          <w:rFonts w:ascii="Arial" w:hAnsi="Arial" w:cs="Arial" w:eastAsia="Arial"/>
          <w:sz w:val="20"/>
          <w:szCs w:val="20"/>
          <w:lang w:val="ru-RU" w:bidi="ru-RU"/>
        </w:rPr>
        <w:t xml:space="preserve">звитие связей с соседними территориями в направлениях: укрепление сообщения с аэропортами Сибири, крупнейшим из которых является аэропорт Толмачево в г. Новосибирске &lt;36&gt;; укрепление связи с транспортно-логистическими коридорами &lt;37&gt;, территориями нового р</w:t>
      </w:r>
      <w:r>
        <w:rPr>
          <w:rFonts w:ascii="Arial" w:hAnsi="Arial" w:cs="Arial" w:eastAsia="Arial"/>
          <w:sz w:val="20"/>
          <w:szCs w:val="20"/>
          <w:lang w:val="ru-RU" w:bidi="ru-RU"/>
        </w:rPr>
        <w:t xml:space="preserve">есурсного освоения (Арктика, линия Сургут - Нижневартовск); обслуживание северных территорий. Эффектами от этой интеграции для территорий региона станет увеличение стоимости недвижимости, повышение зарплат, создание новых рабочих мест в сервисных секторах.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&lt;36&gt; Пассажиропоток за последние 10 лет вырос в 3 раза - до 6,5 млн пассажиров в год.</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&lt;37&gt; Крупнейшим автодорожным коридором Р-255 "Сибирь" по маршруту Новосибирск - Кемерово - Красноярск - Иркутск, железнодорожным - Транссибирская железнодорожная магистраль.</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Основным подходом к развитию муни</w:t>
      </w:r>
      <w:r>
        <w:rPr>
          <w:rFonts w:ascii="Arial" w:hAnsi="Arial" w:cs="Arial" w:eastAsia="Arial"/>
          <w:sz w:val="20"/>
          <w:szCs w:val="20"/>
          <w:lang w:val="ru-RU" w:bidi="ru-RU"/>
        </w:rPr>
        <w:t xml:space="preserve">ципалитетов до 2030 года является формирование новых промышленно-технологических центров, отталкиваясь от различных факторов, тенденций и вызовов развития муниципальных образований, системы территориальных инфраструктурных поясов, в следующем разрезе &lt;38&gt;: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&lt;38&gt; Подробнее по отдельным муниципальным образованиям см. </w:t>
      </w:r>
      <w:hyperlink w:history="1">
        <w:r>
          <w:rPr>
            <w:rFonts w:ascii="Arial" w:hAnsi="Arial" w:cs="Arial" w:eastAsia="Arial"/>
            <w:color w:val="0000FF"/>
            <w:sz w:val="20"/>
            <w:szCs w:val="20"/>
            <w:lang w:val="ru-RU" w:bidi="ru-RU"/>
          </w:rPr>
          <w:t xml:space="preserve">Приложение 1</w:t>
        </w:r>
      </w:hyperlink>
      <w:r>
        <w:rPr>
          <w:rFonts w:ascii="Arial" w:hAnsi="Arial" w:cs="Arial" w:eastAsia="Arial"/>
          <w:sz w:val="20"/>
          <w:szCs w:val="20"/>
          <w:lang w:val="ru-RU" w:bidi="ru-RU"/>
        </w:rPr>
        <w:t xml:space="preserve"> "Перспективы развития отдельных муниципальных образований".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 Город Томск - современный динамичный многопрофильный деловой и </w:t>
      </w:r>
      <w:r>
        <w:rPr>
          <w:rFonts w:ascii="Arial" w:hAnsi="Arial" w:cs="Arial" w:eastAsia="Arial"/>
          <w:sz w:val="20"/>
          <w:szCs w:val="20"/>
          <w:lang w:val="ru-RU" w:bidi="ru-RU"/>
        </w:rPr>
        <w:t xml:space="preserve">креативный центр Сибири с развитой инновационно-технологической инфраструктурой. Г. Томск как столица области является ядром формирования новой специализации, обеспечивает качественный экономический рост на основе знаний, создания передовых технологий, реа</w:t>
      </w:r>
      <w:r>
        <w:rPr>
          <w:rFonts w:ascii="Arial" w:hAnsi="Arial" w:cs="Arial" w:eastAsia="Arial"/>
          <w:sz w:val="20"/>
          <w:szCs w:val="20"/>
          <w:lang w:val="ru-RU" w:bidi="ru-RU"/>
        </w:rPr>
        <w:t xml:space="preserve">лизации национальной образовательной миссии. Стратегия г. Томска до 2030 года синхронизирована со стратегией области и предусматривает закрепление научного и инновационного лидерства, повышение инновационной и инвестиционной активности, формирование центра</w:t>
      </w:r>
      <w:r>
        <w:rPr>
          <w:rFonts w:ascii="Arial" w:hAnsi="Arial" w:cs="Arial" w:eastAsia="Arial"/>
          <w:sz w:val="20"/>
          <w:szCs w:val="20"/>
          <w:lang w:val="ru-RU" w:bidi="ru-RU"/>
        </w:rPr>
        <w:t xml:space="preserve"> цифровой экономики. Для обеспечения конкурентоспособности, привлекательности города для инвестиций и квалифицированных кадров г. Томск должен радикально повысить уровень как социальной, так и бизнес-инфраструктуры, создать доступную творческую и креативну</w:t>
      </w:r>
      <w:r>
        <w:rPr>
          <w:rFonts w:ascii="Arial" w:hAnsi="Arial" w:cs="Arial" w:eastAsia="Arial"/>
          <w:sz w:val="20"/>
          <w:szCs w:val="20"/>
          <w:lang w:val="ru-RU" w:bidi="ru-RU"/>
        </w:rPr>
        <w:t xml:space="preserve">ю среду. Ключевым проектом развития научно-технологической, инновационной и образовательной инфраструктуры является создание новых научных и инновационных кварталов, создание современного межуниверситетского кампуса. Кроме того, необходимо сформировать кул</w:t>
      </w:r>
      <w:r>
        <w:rPr>
          <w:rFonts w:ascii="Arial" w:hAnsi="Arial" w:cs="Arial" w:eastAsia="Arial"/>
          <w:sz w:val="20"/>
          <w:szCs w:val="20"/>
          <w:lang w:val="ru-RU" w:bidi="ru-RU"/>
        </w:rPr>
        <w:t xml:space="preserve">ьтуру современного городского дизайна, недвижимости и потребления по форматам, разнообразию и доступности, не уступающим ведущим мировым научным и технологическим городам. В г. Томске необходимо обеспечить размещение офисов/новых проектов глобально и систе</w:t>
      </w:r>
      <w:r>
        <w:rPr>
          <w:rFonts w:ascii="Arial" w:hAnsi="Arial" w:cs="Arial" w:eastAsia="Arial"/>
          <w:sz w:val="20"/>
          <w:szCs w:val="20"/>
          <w:lang w:val="ru-RU" w:bidi="ru-RU"/>
        </w:rPr>
        <w:t xml:space="preserve">мно значимых отраслей и компаний, в том числе развертывание кадровых и инфраструктурных проектов для ИТ- и цифровых компаний национального уровня. В городе до 2030 года должен появиться мощный район творческих индустрий, оживляющий уникальный облик центра.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Промышленный пояс Томской агломерации (ЗАТО Северск, Томский район). Томский район станет одним из наиболее динамичных территориальных драйверов промышленного роста области, заметным в масштабе Сибири. В рамках развития Томского промышленного пояса пр</w:t>
      </w:r>
      <w:r>
        <w:rPr>
          <w:rFonts w:ascii="Arial" w:hAnsi="Arial" w:cs="Arial" w:eastAsia="Arial"/>
          <w:sz w:val="20"/>
          <w:szCs w:val="20"/>
          <w:lang w:val="ru-RU" w:bidi="ru-RU"/>
        </w:rPr>
        <w:t xml:space="preserve">едполагается размещение высокотехнологических предприятий, создание современных промышленных технопарков, в связке с наукоемкими предприятиями г. Томска и г. Северска, а также развитие проектов нового жилищного строительства, расширение аэропортового узла.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Предполагается: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Северской промышленной зоны, активное развитие специализированной ТОСЭР ЗАТО Северск, обеспечение развития деловой и инновационной среды для новых технологических компаний и стартапов;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жилищного строительства, в том числе расширение количества индивидуальных проектов и кондоминимумов, ИЖС, создание энергоэффективных поселков, реализация комплексных проектов класса "умный город";</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кластера строительных материалов, в том числе с применением технологий модульного домостроения, региональной продукции деревообработки. Создание системы обеспечения стройматериалами для современных технологий строительства жилья;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аэропортовой территории, в том числе расширение логистических функций, гостиничного бизнеса, привлечение логистического оператора в сфере интернет-торговли или цифровой логистики грузов, в том числе в район аэропорта.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3. Южный промышленный узел с центром в г. Асино (Асиновский, Тегульдетский, Верхнекетский, Зырянский, Первомайский, Молчановский, Шегарский районы). Выгодное географическое положение, разви</w:t>
      </w:r>
      <w:r>
        <w:rPr>
          <w:rFonts w:ascii="Arial" w:hAnsi="Arial" w:cs="Arial" w:eastAsia="Arial"/>
          <w:sz w:val="20"/>
          <w:szCs w:val="20"/>
          <w:lang w:val="ru-RU" w:bidi="ru-RU"/>
        </w:rPr>
        <w:t xml:space="preserve">тая инфраструктура и система логистики позволят создать мощный территориально-производственный комплекс с центром в г. Асино со специализацией в сфере деревообработки, деревянного домостроения, производства продуктов питания, продуктов на основе дикоросов.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Необходимо обеспечить создание современного многопрофильного промыш</w:t>
      </w:r>
      <w:r>
        <w:rPr>
          <w:rFonts w:ascii="Arial" w:hAnsi="Arial" w:cs="Arial" w:eastAsia="Arial"/>
          <w:sz w:val="20"/>
          <w:szCs w:val="20"/>
          <w:lang w:val="ru-RU" w:bidi="ru-RU"/>
        </w:rPr>
        <w:t xml:space="preserve">ленно-технологического парка с сервисами, позволяющими производить готовые изделия из древесины, продукты здорового питания, строительные материалы, в том числе экспортно ориентированные. Создание многопрофильного промышленного парка обеспечит рост количес</w:t>
      </w:r>
      <w:r>
        <w:rPr>
          <w:rFonts w:ascii="Arial" w:hAnsi="Arial" w:cs="Arial" w:eastAsia="Arial"/>
          <w:sz w:val="20"/>
          <w:szCs w:val="20"/>
          <w:lang w:val="ru-RU" w:bidi="ru-RU"/>
        </w:rPr>
        <w:t xml:space="preserve">тва и масштаба местных производственных предприятий, в том числе малого и среднего бизнеса. На базе парка необходимо развернуть сервисы для поддержки предпринимателей, в частности по созданию новых и инновационных продуктов и выведению их на внешний рынок.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Дополнительными инструментами поддержки производственных компаний может стать субсидирование части з</w:t>
      </w:r>
      <w:r>
        <w:rPr>
          <w:rFonts w:ascii="Arial" w:hAnsi="Arial" w:cs="Arial" w:eastAsia="Arial"/>
          <w:sz w:val="20"/>
          <w:szCs w:val="20"/>
          <w:lang w:val="ru-RU" w:bidi="ru-RU"/>
        </w:rPr>
        <w:t xml:space="preserve">атрат на производство инновационных продуктов, инжиниринг и дизайн. Также необходимо создание доступной инфраструктуры для малых производственных компаний, в том числе для деловой кооперации (коворкинг, временные офисы) и цифровых технологических сервисов.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Промышленный инфраструктурный узел должен создаваться с расчетом на межмуниципальную кооперацию. Эффектами должны стать новые рабочие места и рост валового муниципального продукта в Асиновском, Зырянском, Первомайском, Тегульдетском и других районах.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4. Центрально-южный агропромышленный пояс (Кривошеинский, Бакчарский, Колпашевский, Кожевниковский, Чаинский районы). Ключевой задачей развития агропромышленного пояса Томской области является комплексная технологическая модернизация </w:t>
      </w:r>
      <w:r>
        <w:rPr>
          <w:rFonts w:ascii="Arial" w:hAnsi="Arial" w:cs="Arial" w:eastAsia="Arial"/>
          <w:sz w:val="20"/>
          <w:szCs w:val="20"/>
          <w:lang w:val="ru-RU" w:bidi="ru-RU"/>
        </w:rPr>
        <w:t xml:space="preserve">производств и перевод их на передовые цифровые решения, в том числе автоматизированные и роботизированные производства с высокой производительностью труда. Это позволит сохранить объемы производства продукции даже в условиях снижения численности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Предполагается создание современной агробиотехнологической и логистической инфраструктуры для районов выраженной агропромышленной специализации, имеющих крупные земельные ресурсы. Внедрение передовых технол</w:t>
      </w:r>
      <w:r>
        <w:rPr>
          <w:rFonts w:ascii="Arial" w:hAnsi="Arial" w:cs="Arial" w:eastAsia="Arial"/>
          <w:sz w:val="20"/>
          <w:szCs w:val="20"/>
          <w:lang w:val="ru-RU" w:bidi="ru-RU"/>
        </w:rPr>
        <w:t xml:space="preserve">огий сельского хозяйства и создание современных перерабатывающих производств позволят не только выгодно использовать имеющийся потенциал, но и нарастить глубину производимого сырья, а также обеспечить создание в районах высокопроизводительных рабочих мест.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Направления реализации проектов: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опытных хозяйств по применению современных технологий для северного и рискованного земледелия, садоводства, органического сельского хозяйства, в том числе цифровых технологий и решений в сфере точного земледелия (Бакчарский и другие районы);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районных агротехнопарков - оптово-распределительных, перерабатывающих центров и площадок деловой кооперации для предприятий глубокой переработки продукции АПК, в муниципальных образованиях, перспективной специализацией которых является АПК;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адресных программ для предпринимателей в сфере внедрения современных технологий и создания новых производств, а также программ переподготовки кадров по новым технологическим компетенциям;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инфраструктуры экологического, познавательного (на примере Бакчарского района, туристский маршрут "Тур по жимолости", краеведческий муз</w:t>
      </w:r>
      <w:r>
        <w:rPr>
          <w:rFonts w:ascii="Arial" w:hAnsi="Arial" w:cs="Arial" w:eastAsia="Arial"/>
          <w:sz w:val="20"/>
          <w:szCs w:val="20"/>
          <w:lang w:val="ru-RU" w:bidi="ru-RU"/>
        </w:rPr>
        <w:t xml:space="preserve">ей, парк семейного отдыха, музейный комплекс Северного Сада) и агротуризма, в том числе новых маршрутов, баз отдыхов, кемпингов в природной среде. Улучшение качества дорожной сети, в том числе опережающее развитие дорог в рамках новых туристских маршрутов.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5. Районы Севера (г. Стрежевой</w:t>
      </w:r>
      <w:r>
        <w:rPr>
          <w:rFonts w:ascii="Arial" w:hAnsi="Arial" w:cs="Arial" w:eastAsia="Arial"/>
          <w:sz w:val="20"/>
          <w:szCs w:val="20"/>
          <w:lang w:val="ru-RU" w:bidi="ru-RU"/>
        </w:rPr>
        <w:t xml:space="preserve">, Александровский район). В районах севера Томской области, прежде всего в г. Стрежевой, где в ближайшие годы прогнозируется стагнация традиционной нефтегазовой экономической базы, в новых условиях необходима реализация ускоренной программы диверсификации.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Направления развития северных городов: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на базе имеющейся профильной образовательной инфраструктуры современного учебного центра в формате "учебной фабрики" по массово</w:t>
      </w:r>
      <w:r>
        <w:rPr>
          <w:rFonts w:ascii="Arial" w:hAnsi="Arial" w:cs="Arial" w:eastAsia="Arial"/>
          <w:sz w:val="20"/>
          <w:szCs w:val="20"/>
          <w:lang w:val="ru-RU" w:bidi="ru-RU"/>
        </w:rPr>
        <w:t xml:space="preserve">й подготовке и переподготовке кадров обеспечения новых территорий добычи (арктические территории, шельфы). Развитие кооперации с новыми территориями добычи ресурсов в сфере целевой профессиональной подготовки и переподготовки кадров в эффективных форматах;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инфраструктуры деловой кооперации для развития сервисных и инженерных компан</w:t>
      </w:r>
      <w:r>
        <w:rPr>
          <w:rFonts w:ascii="Arial" w:hAnsi="Arial" w:cs="Arial" w:eastAsia="Arial"/>
          <w:sz w:val="20"/>
          <w:szCs w:val="20"/>
          <w:lang w:val="ru-RU" w:bidi="ru-RU"/>
        </w:rPr>
        <w:t xml:space="preserve">ий, в том числе в сфере обеспечения технологиями разработки низкодебетных скважин, компаний в сфере малотоннажной и специализированной нефте- и газохимии, в формате профильного промышленного технопарка как филиала аналогичных проектов национального уровня;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инженерного центра в сфере экологического возобновления и рекультивации выработанных месторождений до "зеленой площадки" по выработанным месторождениям;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комфортной городской среды, обеспечение высокого качества социа</w:t>
      </w:r>
      <w:r>
        <w:rPr>
          <w:rFonts w:ascii="Arial" w:hAnsi="Arial" w:cs="Arial" w:eastAsia="Arial"/>
          <w:sz w:val="20"/>
          <w:szCs w:val="20"/>
          <w:lang w:val="ru-RU" w:bidi="ru-RU"/>
        </w:rPr>
        <w:t xml:space="preserve">льных сервисов. Реализация межрегиональных программ и проектов (в том числе совместных с ХМАО) в сфере обеспечения населения города и северных районов медицинской помощью, услугами телемедицины, дистанционного образования, инновационными сервисами, развити</w:t>
      </w:r>
      <w:r>
        <w:rPr>
          <w:rFonts w:ascii="Arial" w:hAnsi="Arial" w:cs="Arial" w:eastAsia="Arial"/>
          <w:sz w:val="20"/>
          <w:szCs w:val="20"/>
          <w:lang w:val="ru-RU" w:bidi="ru-RU"/>
        </w:rPr>
        <w:t xml:space="preserve">я торговых отношений, межрегиональных логистических маршрутов. Создание межрегионального агентства реализации проектов диверсификации и развития территорий старопромысловых нефтегазовых районов, формирование системы технологических кооперационных проектов;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w:t>
      </w:r>
      <w:r>
        <w:rPr>
          <w:rFonts w:ascii="Arial" w:hAnsi="Arial" w:cs="Arial" w:eastAsia="Arial"/>
          <w:sz w:val="20"/>
          <w:szCs w:val="20"/>
          <w:lang w:val="ru-RU" w:bidi="ru-RU"/>
        </w:rPr>
        <w:t xml:space="preserve">ция программ обучения местному предпринимательству, создания современных форматов городской инфраструктуры отдыха, развлечений, социальных услуг. Реализация программ поддержки малого бизнеса, в том числе расширение спектра программ фонда поддержки бизнеса;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реализации культурных проектов и инициатив, в том числе софинансирование участия в грантовых программах частных фондов и международных организаций по сохранению и развитию культурной среды севера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6. Малые, удаленные и труднодоступные районы (г. Кедровый, Каргасокский, Парабельский районы). Реализация механизмов управляемого сжатия малы</w:t>
      </w:r>
      <w:r>
        <w:rPr>
          <w:rFonts w:ascii="Arial" w:hAnsi="Arial" w:cs="Arial" w:eastAsia="Arial"/>
          <w:sz w:val="20"/>
          <w:szCs w:val="20"/>
          <w:lang w:val="ru-RU" w:bidi="ru-RU"/>
        </w:rPr>
        <w:t xml:space="preserve">х, удаленных и труднодоступных районов, экономико-географическое положение и ресурсный потенциал которых не позволит в ближайшие годы существенно нарастить промышленную базу и сформировать самостоятельные производственные центры. Набор механизмов включает: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поддержание занятости и самозанятости стабильного местного населения в удаленных сельских районах посредством развития комплексных рекреационных зон и формировани</w:t>
      </w:r>
      <w:r>
        <w:rPr>
          <w:rFonts w:ascii="Arial" w:hAnsi="Arial" w:cs="Arial" w:eastAsia="Arial"/>
          <w:sz w:val="20"/>
          <w:szCs w:val="20"/>
          <w:lang w:val="ru-RU" w:bidi="ru-RU"/>
        </w:rPr>
        <w:t xml:space="preserve">я новых маршрутов. Развитие направления бальнеологии и санаторно-курортного комплекса в Верхнекетском, Колпашевском районах, событийного, медицинского, культурно-познавательного туризма в ряде сельских, пограничных с соседними регионами районах. Комплексно</w:t>
      </w:r>
      <w:r>
        <w:rPr>
          <w:rFonts w:ascii="Arial" w:hAnsi="Arial" w:cs="Arial" w:eastAsia="Arial"/>
          <w:sz w:val="20"/>
          <w:szCs w:val="20"/>
          <w:lang w:val="ru-RU" w:bidi="ru-RU"/>
        </w:rPr>
        <w:t xml:space="preserve">е обучение предпринимателей, инициативных групп, представителей социальной и культурной сферы проектированию новых культурно-туристских маршрутов и реализации проектов в сфере развития бренда территории, создания новой туристской географии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малых населенных пунктов необходимым количеством и качеством социальной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межрайонной инфраструктуры для развития малых производственных предприятий и индивидуальных предпринимателей в производственной сфере, торговли, в том числе фермерскими и экологичными продуктами, за</w:t>
      </w:r>
      <w:r>
        <w:rPr>
          <w:rFonts w:ascii="Arial" w:hAnsi="Arial" w:cs="Arial" w:eastAsia="Arial"/>
          <w:sz w:val="20"/>
          <w:szCs w:val="20"/>
          <w:lang w:val="ru-RU" w:bidi="ru-RU"/>
        </w:rPr>
        <w:t xml:space="preserve">готовки и переработки дикоросов, рыбной продукции, создания сувениров и местной ремесленной продукции. Восстановление производства местных ремесел и народных искусств, формирование локальных брендов на основе уникальных традиций истории и культуры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локальных производственных площадок для компаний в сфере производства товаров из местного сырья, добычи и переработки строительных материалов, глины, торфа (Верхнекетс</w:t>
      </w:r>
      <w:r>
        <w:rPr>
          <w:rFonts w:ascii="Arial" w:hAnsi="Arial" w:cs="Arial" w:eastAsia="Arial"/>
          <w:sz w:val="20"/>
          <w:szCs w:val="20"/>
          <w:lang w:val="ru-RU" w:bidi="ru-RU"/>
        </w:rPr>
        <w:t xml:space="preserve">кий, Бакчарский районы), минеральных вод, рудных месторождений (Бакчарский район), прежде всего обеспечение на таких площадках снижения затрат на логистику, транспортировку и электроэнергию на единицу продукции (модернизация ветхой и неэффективной коммунал</w:t>
      </w:r>
      <w:r>
        <w:rPr>
          <w:rFonts w:ascii="Arial" w:hAnsi="Arial" w:cs="Arial" w:eastAsia="Arial"/>
          <w:sz w:val="20"/>
          <w:szCs w:val="20"/>
          <w:lang w:val="ru-RU" w:bidi="ru-RU"/>
        </w:rPr>
        <w:t xml:space="preserve">ьной инфраструктуры, замена ее на новые технологические комплексы, в том числе автономные энергетические установки, современные котельные), создание локальных брендов и системы сбыта на внешних рынках, поддержка проведения разведывательных и опытных работ;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центров компетенций и знаний в сфере развития новых отраслей и поддержки предпринимательских инициатив жителей. Предоставление грантов на поддержку бизнес-идей, социально ориентированных инициатив;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сез</w:t>
      </w:r>
      <w:r>
        <w:rPr>
          <w:rFonts w:ascii="Arial" w:hAnsi="Arial" w:cs="Arial" w:eastAsia="Arial"/>
          <w:sz w:val="20"/>
          <w:szCs w:val="20"/>
          <w:lang w:val="ru-RU" w:bidi="ru-RU"/>
        </w:rPr>
        <w:t xml:space="preserve">онной занятости и сезонного/вахтового типа заселения территорий (например, в период сбора дикоросов, летний период), предоставление на холодный период временного жилья в городских центрах, что позволит обеспечить экономию населенных пунктов в зимний сезон;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программ добровольного переселения жителей из удаленных и "</w:t>
      </w:r>
      <w:r>
        <w:rPr>
          <w:rFonts w:ascii="Arial" w:hAnsi="Arial" w:cs="Arial" w:eastAsia="Arial"/>
          <w:sz w:val="20"/>
          <w:szCs w:val="20"/>
          <w:lang w:val="ru-RU" w:bidi="ru-RU"/>
        </w:rPr>
        <w:t xml:space="preserve">вымирающих" поселков и неэффективных экономически малых городов в развивающиеся районные центры, включая обеспечение полного комплекса механизмов социальной адаптации (помощь в переезде, поиске работы, переобучении, предоставление жилья, социальных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Положительным образом на развитие всех муниципальных образовани</w:t>
      </w:r>
      <w:r>
        <w:rPr>
          <w:rFonts w:ascii="Arial" w:hAnsi="Arial" w:cs="Arial" w:eastAsia="Arial"/>
          <w:sz w:val="20"/>
          <w:szCs w:val="20"/>
          <w:lang w:val="ru-RU" w:bidi="ru-RU"/>
        </w:rPr>
        <w:t xml:space="preserve">й повлияет активизация межрегионального и межмуниципального сотрудничества. Необходимо создание инструментов поддержки и координации муниципальных инициатив, направленных на реализацию и синхронизацию отраслевых, межрегиональных, межмуниципальных проектов.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результате реализованных мероприятий на уровне муниципальных образований восстановительный экономический рост следующего этапа будет обеспечен как разви</w:t>
      </w:r>
      <w:r>
        <w:rPr>
          <w:rFonts w:ascii="Arial" w:hAnsi="Arial" w:cs="Arial" w:eastAsia="Arial"/>
          <w:sz w:val="20"/>
          <w:szCs w:val="20"/>
          <w:lang w:val="ru-RU" w:bidi="ru-RU"/>
        </w:rPr>
        <w:t xml:space="preserve">тием новых экономических специализаций, так и снятием ключевых инфраструктурных барьеров. На уровне муниципалитетов будет реализован набор эффективных инструментов развития каждого муниципального образования и запущена серия пилотных/инициативных проектов.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Индикаторами выполнения задачи станут рост к 2030 году показателей среднемесячных располагаемых ресурсов сельского и городского домохозяйств до 80,31%, рост доли сельского населения в общей численности населения Томской области до 27,39%.</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4.2. Содействовать повышению эффективности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транспортной системы и информационно-коммуникационной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инфраструктуры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транспортной политики Томской области - обеспечение инфраструктурной связности муниципальных образований Томской области, реализация технологического и транспортно-логистического потенциала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настоящий момент транспортный комплекс Томской области в целом обеспечивает потребности экономики региона. Перевозки грузов и пассажиров осуществляются автомобильным, железнодорожным, внутренним водным</w:t>
      </w:r>
      <w:r>
        <w:rPr>
          <w:rFonts w:ascii="Arial" w:hAnsi="Arial" w:cs="Arial" w:eastAsia="Arial"/>
          <w:sz w:val="20"/>
          <w:szCs w:val="20"/>
          <w:lang w:val="ru-RU" w:bidi="ru-RU"/>
        </w:rPr>
        <w:t xml:space="preserve"> и воздушным транспортом. Преимуществом Томской области является разветвленная маршрутная сеть на базе аэропорта Томск (Богашево), построенная на связях с узловыми аэропортами России, что имеет большое значение для развития межрегионального сотрудничества.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Особенностью региона является асимметричная модель транспортной системы: в силу природной дифференциации территории северные районы заметно уступают ю</w:t>
      </w:r>
      <w:r>
        <w:rPr>
          <w:rFonts w:ascii="Arial" w:hAnsi="Arial" w:cs="Arial" w:eastAsia="Arial"/>
          <w:sz w:val="20"/>
          <w:szCs w:val="20"/>
          <w:lang w:val="ru-RU" w:bidi="ru-RU"/>
        </w:rPr>
        <w:t xml:space="preserve">жной части по уровню развития транспортной инфраструктуры, при этом между отдельными населенными пунктами отсутствует постоянная круглогодичная транспортная связь. Несмотря на реализацию мероприятий по приведению в нормативное состояние дорожной сети в гра</w:t>
      </w:r>
      <w:r>
        <w:rPr>
          <w:rFonts w:ascii="Arial" w:hAnsi="Arial" w:cs="Arial" w:eastAsia="Arial"/>
          <w:sz w:val="20"/>
          <w:szCs w:val="20"/>
          <w:lang w:val="ru-RU" w:bidi="ru-RU"/>
        </w:rPr>
        <w:t xml:space="preserve">ницах Томской агломерации и автомобильных дорог регионального и межмуниципального значения, более 70% автомобильных дорог регионального значения и автомобильных дорог в городских агломерациях с учетом загруженности не соответствуют нормативным требованиям.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 задачам улучшения транспортной доступности Томской области относятся расширение транспортных </w:t>
      </w:r>
      <w:r>
        <w:rPr>
          <w:rFonts w:ascii="Arial" w:hAnsi="Arial" w:cs="Arial" w:eastAsia="Arial"/>
          <w:sz w:val="20"/>
          <w:szCs w:val="20"/>
          <w:lang w:val="ru-RU" w:bidi="ru-RU"/>
        </w:rPr>
        <w:t xml:space="preserve">связей с Новосибирским транспортным узлом, развитие аэропорта Томск (Богашево). Стратегический транспортно-транзитный потенциал может быть увеличен за счет реализации крупных проектов по строительству автомобильных дорог и развития судоходства по реке Оби.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Основные направления развития транспортной системы, ориентированные на ликвидацию ключевых дефицитов и одновременно на реализацию транспортно-логистического и технологического потенциала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программ развития общественного пассажирск</w:t>
      </w:r>
      <w:r>
        <w:rPr>
          <w:rFonts w:ascii="Arial" w:hAnsi="Arial" w:cs="Arial" w:eastAsia="Arial"/>
          <w:sz w:val="20"/>
          <w:szCs w:val="20"/>
          <w:lang w:val="ru-RU" w:bidi="ru-RU"/>
        </w:rPr>
        <w:t xml:space="preserve">ого транспорта. Увеличение доли пассажирских перевозок общественным транспортом в общем объеме перевозок пассажиров автомобильным транспортом, перевод парка на газомоторное топливо, развитие электротранспорта. Цифровизация в сфере пассажирского транспорта;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участие совместно со структурами ОАО "РЖД" в проектах развития системы скоростного пассажирского железнодорожного сообщения и обновления подвиж</w:t>
      </w:r>
      <w:r>
        <w:rPr>
          <w:rFonts w:ascii="Arial" w:hAnsi="Arial" w:cs="Arial" w:eastAsia="Arial"/>
          <w:sz w:val="20"/>
          <w:szCs w:val="20"/>
          <w:lang w:val="ru-RU" w:bidi="ru-RU"/>
        </w:rPr>
        <w:t xml:space="preserve">ного состава железнодорожного транспорта для повышения межрегиональной связности и транспортной доступности, включая проработку актуальности создания линии скоростной магистрали Томск - Новосибирск как части национально значимого железнодорожного коридора;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аэропортового комплекса как современного центра региональных полетов. Расширение региональной маршрутной сети, обеспечивающей транспортное сообщение Томска с административными </w:t>
      </w:r>
      <w:r>
        <w:rPr>
          <w:rFonts w:ascii="Arial" w:hAnsi="Arial" w:cs="Arial" w:eastAsia="Arial"/>
          <w:sz w:val="20"/>
          <w:szCs w:val="20"/>
          <w:lang w:val="ru-RU" w:bidi="ru-RU"/>
        </w:rPr>
        <w:t xml:space="preserve">центрами других субъектов Российской Федерации, расширение сети маршрутов местных воздушных линий до отдаленных населенных пунктов Томской области, создание условий для функционирования авиакомпаний, обеспечивающих внутриобластные и региональные перевозки;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систем беспилотного транспорта для перевозки грузов;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содействие обновлению инфраструктуры внутренних водных перевозок и речного пассажирского флота, износ которого составляет более 60%;</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содействие устранению лимитирующих участков в бассейне р. Обь для освоения новых грузопотоков и эффективной загрузки флота;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мероприятий по развитию пассажирских перевозок внутренним водным транспортом, в том числе посредством субсидирования;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дорожной сети, обеспечивающей связность территории и повышение инвестиционного и экономического потенциала региона в целом и входящих в его состав муниципальных образований, в том числе за счет: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увеличения транзитного потенциала автомобильной дорожной сети, обеспечивающей беспрепятственное передвижение грузов с севера на юг, с запада на восток, в том числе с выходом на Транссибирскую железнодорожную магистраль. Потребуется проработка</w:t>
      </w:r>
      <w:r>
        <w:rPr>
          <w:rFonts w:ascii="Arial" w:hAnsi="Arial" w:cs="Arial" w:eastAsia="Arial"/>
          <w:sz w:val="20"/>
          <w:szCs w:val="20"/>
          <w:lang w:val="ru-RU" w:bidi="ru-RU"/>
        </w:rPr>
        <w:t xml:space="preserve"> возможных вариантов строительства и реконструкции отдельных участков "Северного широтного коридора" как части транзитного сообщения Пермь - Ивдель - Ханты-Мансийск - Томск, строительства автомобильной дороги Томск - Тайга в Томской и Кемеровской областях;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развития опорного каркаса а</w:t>
      </w:r>
      <w:r>
        <w:rPr>
          <w:rFonts w:ascii="Arial" w:hAnsi="Arial" w:cs="Arial" w:eastAsia="Arial"/>
          <w:sz w:val="20"/>
          <w:szCs w:val="20"/>
          <w:lang w:val="ru-RU" w:bidi="ru-RU"/>
        </w:rPr>
        <w:t xml:space="preserve">втомобильных дорог Томской области (строительство малого транспортного кольца г. Томска, транспортных развязок в разных уровнях в Томской агломерации, реконструкция автомобильных дорог, обеспечивающих транспортное сообщение с муниципальными образованиями).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регионе ведется работа по раз</w:t>
      </w:r>
      <w:r>
        <w:rPr>
          <w:rFonts w:ascii="Arial" w:hAnsi="Arial" w:cs="Arial" w:eastAsia="Arial"/>
          <w:sz w:val="20"/>
          <w:szCs w:val="20"/>
          <w:lang w:val="ru-RU" w:bidi="ru-RU"/>
        </w:rPr>
        <w:t xml:space="preserve">витию информационно-коммуникационной инфраструктуры: более 80% населения региона являются активными пользователями сети Интернет; обеспечена доступность сотовой связи для 99,6% населения; в 2019 году Томская область перешла на эфирное цифровое телевидение.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является одним из российских регионов - лидеров по разработке элементной базы по созданию сетей сотовой связи пятого поколения. Для </w:t>
      </w:r>
      <w:r>
        <w:rPr>
          <w:rFonts w:ascii="Arial" w:hAnsi="Arial" w:cs="Arial" w:eastAsia="Arial"/>
          <w:sz w:val="20"/>
          <w:szCs w:val="20"/>
          <w:lang w:val="ru-RU" w:bidi="ru-RU"/>
        </w:rPr>
        <w:t xml:space="preserve">укрепления позиций региона в этом направлении необходимо не только сохранить уровень научно-технологического и кадрового обеспечения отрасли, но и стать местом для пилотирования, доработки и масштабирования этой новой глобальной критической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Основные направления развития информационно-коммуникационной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Ликвидация "цифрового неравенства", развитие сети сотовой связи в отдаленных и труднодоступных населенных пунктах Томской области, обеспечение доступа к сети Интернет в населенных пунктах с численностью 250 и менее человек.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Запуск на территории Томской области в эксплуатацию сети сотовой связи стандарта 5G. Приоритетные мероприятия в рамках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проектов по тестированию сетей 5G в различных условиях, в том числе корпоративных частных сетей, и внедрение узкополосных беспроводных сетей связи "Интернета вещей". Создание площадки для тестирования решений для компаний глобального уровня;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Отработка пилотных решений в формате натурных испытаний для логистики: выделенные зоны, полосы для дронов, проекты в сфере АПК;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Внедрение технологий в действующие инфраструктурные проекты: дистанционное управление, образование, контроль и видеонаблюдение, телемедицина (что особенно важно для удаленных территорий);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научного задела на 5G и 6G. Опережающие исследования, в том числе за счет развития специальной инфраструктуры тестирования (полигонов).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открытой инфраструктуры для технологических стартапов на основе открытых стандартов, что даст возможность малым и средним компаниям выйти на международный рынок.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результате прово</w:t>
      </w:r>
      <w:r>
        <w:rPr>
          <w:rFonts w:ascii="Arial" w:hAnsi="Arial" w:cs="Arial" w:eastAsia="Arial"/>
          <w:sz w:val="20"/>
          <w:szCs w:val="20"/>
          <w:lang w:val="ru-RU" w:bidi="ru-RU"/>
        </w:rPr>
        <w:t xml:space="preserve">димых в рамках задачи мероприятий удастся ликвидировать наиболее острые инфраструктурные проблемы и дефициты в сфере транспортного обеспечения, создать основу для экономического роста за счет развития сетей связи и создания современной транспортной инфраст</w:t>
      </w:r>
      <w:r>
        <w:rPr>
          <w:rFonts w:ascii="Arial" w:hAnsi="Arial" w:cs="Arial" w:eastAsia="Arial"/>
          <w:sz w:val="20"/>
          <w:szCs w:val="20"/>
          <w:lang w:val="ru-RU" w:bidi="ru-RU"/>
        </w:rPr>
        <w:t xml:space="preserve">руктуры, что будет выражаться в увеличении доли дорожной сети городской агломерации, находящейся в нормативном состоянии, до уровня не менее 85% к 2030 году, росте объема пассажиропотока авиасообщения Томской области до 1097,17 тыс. пассажиров к 2030 году.</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4.3. Обеспечить модернизацию и развитие коммунальной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инфраструктуры, в т.ч. повысить энергоэффективность</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в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региональной политики развития коммунальной инфраструктуры - переход на современную технологическую платформу, в т.ч. с применением цифровых решений, обеспечивающую эфф</w:t>
      </w:r>
      <w:r>
        <w:rPr>
          <w:rFonts w:ascii="Arial" w:hAnsi="Arial" w:cs="Arial" w:eastAsia="Arial"/>
          <w:sz w:val="20"/>
          <w:szCs w:val="20"/>
          <w:lang w:val="ru-RU" w:bidi="ru-RU"/>
        </w:rPr>
        <w:t xml:space="preserve">ективную эксплуатацию инфраструктуры и предоставление качественных сервисов для бизнеса и населения; направление усилий на обеспечение удаленных территорий на основе передовых технологий, в т.ч. в перспективном переходе на возобновляемые источники энергии.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 2030 года планируется продолжение реализации мероприятий, направленных на решение текущих </w:t>
      </w:r>
      <w:r>
        <w:rPr>
          <w:rFonts w:ascii="Arial" w:hAnsi="Arial" w:cs="Arial" w:eastAsia="Arial"/>
          <w:sz w:val="20"/>
          <w:szCs w:val="20"/>
          <w:lang w:val="ru-RU" w:bidi="ru-RU"/>
        </w:rPr>
        <w:t xml:space="preserve">задач в сфере ЖКХ, связанных с обеспеченностью жилищного фонда водопроводом и доступом к воде питьевого качества, снижением аварийности в сетях, обеспечением капитального ремонта в многоквартирных домах, модернизацией инфраструктуры в сфере теплоснабжения.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сфере электроснабжения необходимо устранить дефициты в части разви</w:t>
      </w:r>
      <w:r>
        <w:rPr>
          <w:rFonts w:ascii="Arial" w:hAnsi="Arial" w:cs="Arial" w:eastAsia="Arial"/>
          <w:sz w:val="20"/>
          <w:szCs w:val="20"/>
          <w:lang w:val="ru-RU" w:bidi="ru-RU"/>
        </w:rPr>
        <w:t xml:space="preserve">тия энергетической инфраструктуры, привлечь частные средства на строительство новых и модернизацию действующих объектов в эффективных для бизнеса форматах, обеспечить ликвидацию дефицитов развития энергетической инфраструктуры в муниципальных образованиях.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Ключевые объекты и направления развития энергетической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Т</w:t>
      </w:r>
      <w:r>
        <w:rPr>
          <w:rFonts w:ascii="Arial" w:hAnsi="Arial" w:cs="Arial" w:eastAsia="Arial"/>
          <w:sz w:val="20"/>
          <w:szCs w:val="20"/>
          <w:lang w:val="ru-RU" w:bidi="ru-RU"/>
        </w:rPr>
        <w:t xml:space="preserve">ехническое перевооружение выбывающих из эксплуатации ТЭЦ с учетом возможностей действующих федеральных программ модернизации генерирующего оборудования электростанций, в частности за счет ускоренной реализации проекта по модернизации ТЭЦ СХК в г. Северске.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Проработка возможностей по реализации на удаленных и энергодефицитных территориях перспективных проек</w:t>
      </w:r>
      <w:r>
        <w:rPr>
          <w:rFonts w:ascii="Arial" w:hAnsi="Arial" w:cs="Arial" w:eastAsia="Arial"/>
          <w:sz w:val="20"/>
          <w:szCs w:val="20"/>
          <w:lang w:val="ru-RU" w:bidi="ru-RU"/>
        </w:rPr>
        <w:t xml:space="preserve">тов по размещению электростанций на возобновляемых источниках энергии (ветер, вода, термальная энергия) и на иных видах топлива, включая водородное топливо (применение таких инновационных решений позволит решать существующие проблемы удаленных территорий).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Ускорение перехода к интеллектуальной цифровой энергетике в сфере технологической модернизации электросетевого хозяйства, в т.ч. оснащение объектов системами телемеханики, интеллектуальными датчиками </w:t>
      </w:r>
      <w:r>
        <w:rPr>
          <w:rFonts w:ascii="Arial" w:hAnsi="Arial" w:cs="Arial" w:eastAsia="Arial"/>
          <w:sz w:val="20"/>
          <w:szCs w:val="20"/>
          <w:lang w:val="ru-RU" w:bidi="ru-RU"/>
        </w:rPr>
        <w:t xml:space="preserve">и приборами учета; модернизация центров обработки данных по управлению электросетевыми объектами; внедрение передовых цифровых технологий и стандартов умных сетей класса Smart Grid, Microgrid; реализация проектов создания автономных гибридных энергосистем.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Внедрение цифровых сервисов по присоединению к электрическим сетям и сетям газораспределения, обеспечивающих сокращение количества необходимых процедур и сроков оказания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Выполнение мероприятий, направленных на обеспечение качества и надежности функционирования магистральной </w:t>
      </w:r>
      <w:r>
        <w:rPr>
          <w:rFonts w:ascii="Arial" w:hAnsi="Arial" w:cs="Arial" w:eastAsia="Arial"/>
          <w:sz w:val="20"/>
          <w:szCs w:val="20"/>
          <w:lang w:val="ru-RU" w:bidi="ru-RU"/>
        </w:rPr>
        <w:t xml:space="preserve">и распределительной сети за счет сокращения количества нарушений электроснабжения и сроков на их устранение, в том числе путем расчистки и расширения просек, замены устаревшего оборудования, консолидации бесхозяйных и муниципальных электросетевых объектов.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программ перехода на сжиженный природный газ, перевода транспорта и сельского хозяйства, городского транспорта на газомоторное топливо.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Программы развития газоснабжения и газификации Томской области &lt;39&gt;.</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&lt;39&gt; В соответствии с Соглашением о сотрудничестве между Администрацией Томской области и ПАО "Газпром" от 20.12.2004 Томская область является участником Программы газификации регионов Российской Федерации.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Ключевые направления развития ЖКХ: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проектов по модернизации объектов системы теплоснабжения, водоснабжения и водоотведения.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Внедрение платформ "Умного города" в Томске и других муниципальных образованиях. Создание платформы цифровых сервисов для жителей региона в области ЖКХ.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Внедрение в сфере ЖКХ инструментов государственно-частного партнерства на базе концессионного механизма.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Инициирование на уровне СФО формирования базы региональных практик в сфере тарифного регулирования, включая внедрение в пр</w:t>
      </w:r>
      <w:r>
        <w:rPr>
          <w:rFonts w:ascii="Arial" w:hAnsi="Arial" w:cs="Arial" w:eastAsia="Arial"/>
          <w:sz w:val="20"/>
          <w:szCs w:val="20"/>
          <w:lang w:val="ru-RU" w:bidi="ru-RU"/>
        </w:rPr>
        <w:t xml:space="preserve">актику регионального госуправления механизмов расчета тарифных последствий на этапе планирования инженерной инфраструктуры, внедрение цифровых сервисов тарифного управления (в частности, цифровой учет данных об активах предприятий для перерасчета тарифов).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результате выполнения задачи буду</w:t>
      </w:r>
      <w:r>
        <w:rPr>
          <w:rFonts w:ascii="Arial" w:hAnsi="Arial" w:cs="Arial" w:eastAsia="Arial"/>
          <w:sz w:val="20"/>
          <w:szCs w:val="20"/>
          <w:lang w:val="ru-RU" w:bidi="ru-RU"/>
        </w:rPr>
        <w:t xml:space="preserve">т улучшены показатели эффективности работы генерирующих мощностей энергосистемы Томской области, сокращен уровень потерь электрической энергии в электрических сетях, повысится качество и надежность обеспечения электрической энергией потребителей, в том чис</w:t>
      </w:r>
      <w:r>
        <w:rPr>
          <w:rFonts w:ascii="Arial" w:hAnsi="Arial" w:cs="Arial" w:eastAsia="Arial"/>
          <w:sz w:val="20"/>
          <w:szCs w:val="20"/>
          <w:lang w:val="ru-RU" w:bidi="ru-RU"/>
        </w:rPr>
        <w:t xml:space="preserve">ле в труднодоступных и удаленных населенных пунктах. Будет достигнут современный уровень функционирования ЖКХ с созданием задела для перехода на новые технологические решения, в том числе для эффективного инфраструктурного обеспечения удаленных территорий.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Индикаторами выполнения задачи станут сокращение количества аварий в системах теплоснабжения, водоснабжения и очистки сточных вод с 164 ед. в 2020 г. до 70 ед. к 2030 г., повышение уровня</w:t>
      </w:r>
      <w:r>
        <w:rPr>
          <w:rFonts w:ascii="Arial" w:hAnsi="Arial" w:cs="Arial" w:eastAsia="Arial"/>
          <w:sz w:val="20"/>
          <w:szCs w:val="20"/>
          <w:lang w:val="ru-RU" w:bidi="ru-RU"/>
        </w:rPr>
        <w:t xml:space="preserve"> газификации природным газом жилищного фонда Томской области, подлежащего газификации, с 40% в 2020 г. до 47% к 2030 г., уменьшение удельного расхода топлива на отпущенную электрическую энергию с 332,7 г.у.т/кВт x ч в 2020 г. до 290 г.у.т/кВт x ч к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Цель 5. Эффективное управление регионом</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цифровая трансформация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 2018 г</w:t>
      </w:r>
      <w:r>
        <w:rPr>
          <w:rFonts w:ascii="Arial" w:hAnsi="Arial" w:cs="Arial" w:eastAsia="Arial"/>
          <w:sz w:val="20"/>
          <w:szCs w:val="20"/>
          <w:lang w:val="ru-RU" w:bidi="ru-RU"/>
        </w:rPr>
        <w:t xml:space="preserve">ода в России реализуется новый этап в сфере национальной политики развития, связанный с постановкой системных целей и стратегических задач развития, внедрением системы управления по результатам деятельности с учетом оценки эффективности деятельности регион</w:t>
      </w:r>
      <w:r>
        <w:rPr>
          <w:rFonts w:ascii="Arial" w:hAnsi="Arial" w:cs="Arial" w:eastAsia="Arial"/>
          <w:sz w:val="20"/>
          <w:szCs w:val="20"/>
          <w:lang w:val="ru-RU" w:bidi="ru-RU"/>
        </w:rPr>
        <w:t xml:space="preserve">альных органов власти, реализацией комплекса национальных проектов через систему региональных проектов, вошедших в структуру государственных программ, полностью соответствующих структуре федеральных и учитывающих уникальные задачи развития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 2030 года система управления должна полностью внедрить проектный подход в деятельность органов государственной власти и органов местного</w:t>
      </w:r>
      <w:r>
        <w:rPr>
          <w:rFonts w:ascii="Arial" w:hAnsi="Arial" w:cs="Arial" w:eastAsia="Arial"/>
          <w:sz w:val="20"/>
          <w:szCs w:val="20"/>
          <w:lang w:val="ru-RU" w:bidi="ru-RU"/>
        </w:rPr>
        <w:t xml:space="preserve"> самоуправления, а также стать цифровой, умной, прозрачной и открытой, в том числе для общества. Система должна быть перенастроена на качественно новый результат, ориентированный на достижение ключевых показателей эффективности органов региональной власти.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системе государственного стратегического и программн</w:t>
      </w:r>
      <w:r>
        <w:rPr>
          <w:rFonts w:ascii="Arial" w:hAnsi="Arial" w:cs="Arial" w:eastAsia="Arial"/>
          <w:sz w:val="20"/>
          <w:szCs w:val="20"/>
          <w:lang w:val="ru-RU" w:bidi="ru-RU"/>
        </w:rPr>
        <w:t xml:space="preserve">ого управления в ближайшие годы предстоит осуществить системные изменения. Разработка и принятие системы ключевых документов должны стать существенно более гибкими, поскольку будут проходить в условиях высокой неопределенности внешней среды. При сохранении</w:t>
      </w:r>
      <w:r>
        <w:rPr>
          <w:rFonts w:ascii="Arial" w:hAnsi="Arial" w:cs="Arial" w:eastAsia="Arial"/>
          <w:sz w:val="20"/>
          <w:szCs w:val="20"/>
          <w:lang w:val="ru-RU" w:bidi="ru-RU"/>
        </w:rPr>
        <w:t xml:space="preserve"> ключевого "целевого" принципа система планирования и бюджетирования должна перейти в максимально гибкий формат (agile). Адаптационная система управления будет сочетать как восстановительное (устойчивость), так и стратегическое (новые форматы)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Задача эффективного (цифрового) управления должна быть решена на уровне международных аналогов с использованием передовых технологий и компетенций систем</w:t>
      </w:r>
      <w:r>
        <w:rPr>
          <w:rFonts w:ascii="Arial" w:hAnsi="Arial" w:cs="Arial" w:eastAsia="Arial"/>
          <w:sz w:val="20"/>
          <w:szCs w:val="20"/>
          <w:lang w:val="ru-RU" w:bidi="ru-RU"/>
        </w:rPr>
        <w:t xml:space="preserve">ных корпоративных игроков, лидеров рынка (среди них: Росатом, Сбербанк и др.). Будут внедрены такие системы, как "умный регион", "умное правительство", граждане будут пользоваться всеми необходимыми сервисами через единые и удобные агрегационные платформы.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Процесс предоставления государственных и муниципальных услуг планируется перевести преимущественно в электронный вид. Созданная сеть МФЦ на территории Томск</w:t>
      </w:r>
      <w:r>
        <w:rPr>
          <w:rFonts w:ascii="Arial" w:hAnsi="Arial" w:cs="Arial" w:eastAsia="Arial"/>
          <w:sz w:val="20"/>
          <w:szCs w:val="20"/>
          <w:lang w:val="ru-RU" w:bidi="ru-RU"/>
        </w:rPr>
        <w:t xml:space="preserve">ой области в частности, и в Российской Федерации в целом, вывела взаимодействие граждан с государством на качественно новый уровень. Внедрение принципа "одного окна" на базе МФЦ содействовало снижению уровня временных и финансовых издержек граждан на получ</w:t>
      </w:r>
      <w:r>
        <w:rPr>
          <w:rFonts w:ascii="Arial" w:hAnsi="Arial" w:cs="Arial" w:eastAsia="Arial"/>
          <w:sz w:val="20"/>
          <w:szCs w:val="20"/>
          <w:lang w:val="ru-RU" w:bidi="ru-RU"/>
        </w:rPr>
        <w:t xml:space="preserve">ение государственных и муниципальных услуг. Тенденция организации взаимодействия органов власти с гражданами в рамках федеральных услуг показывает, что планируется поэтапная передача полномочий по очному взаимодействию с гражданами от органов власти в МФЦ.</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Результатами выполнения цели к 2030 году станут обеспечение значения доли населения, удовлетворенного деятельностью государственных </w:t>
      </w:r>
      <w:r>
        <w:rPr>
          <w:rFonts w:ascii="Arial" w:hAnsi="Arial" w:cs="Arial" w:eastAsia="Arial"/>
          <w:sz w:val="20"/>
          <w:szCs w:val="20"/>
          <w:lang w:val="ru-RU" w:bidi="ru-RU"/>
        </w:rPr>
        <w:t xml:space="preserve">органов исполнительной власти региона, на уровне не менее 50%, а также рост "цифровой зрелости" ключевых отраслей экономики и социальной сферы, в том числе здравоохранения и образования, а также государственного управления, с 4% в 2020 г. до 100% к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5.1. Создание системы управления на базе цифровых</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платформ, в т.ч. в государственном секторе</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региональной полити</w:t>
      </w:r>
      <w:r>
        <w:rPr>
          <w:rFonts w:ascii="Arial" w:hAnsi="Arial" w:cs="Arial" w:eastAsia="Arial"/>
          <w:sz w:val="20"/>
          <w:szCs w:val="20"/>
          <w:lang w:val="ru-RU" w:bidi="ru-RU"/>
        </w:rPr>
        <w:t xml:space="preserve">ки - полная цифровизация системы государственного управления, переход на модель управления на основе данных, активное вовлечение региональных ИТ-компаний в процессы цифровой трансформацию Томской области и разработку конкретных решений под задачи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Томская область имеет высокий уровень информатизации. Регион занимает 35-е место среди 85 субъектов Российской Федерации в рейтинге "Цифровая</w:t>
      </w:r>
      <w:r>
        <w:rPr>
          <w:rFonts w:ascii="Arial" w:hAnsi="Arial" w:cs="Arial" w:eastAsia="Arial"/>
          <w:sz w:val="20"/>
          <w:szCs w:val="20"/>
          <w:lang w:val="ru-RU" w:bidi="ru-RU"/>
        </w:rPr>
        <w:t xml:space="preserve"> Россия". Создана территориальная информационная система, являющаяся интеграционной системой Ситуационного центра Губернатора Томской области, основной функцией которой является подготовка и представление данных для лиц, принимающих управленческие решения.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преодоления цифрового неравенства и повышения уровня информатизации общества регионом проводится активная работ</w:t>
      </w:r>
      <w:r>
        <w:rPr>
          <w:rFonts w:ascii="Arial" w:hAnsi="Arial" w:cs="Arial" w:eastAsia="Arial"/>
          <w:sz w:val="20"/>
          <w:szCs w:val="20"/>
          <w:lang w:val="ru-RU" w:bidi="ru-RU"/>
        </w:rPr>
        <w:t xml:space="preserve">а по развитию сети центров общественного доступа (ЦОД) на базе муниципальных учреждений и учреждений профессионального образования к социально значимой информации в сети Интернет; реализуется проект по бесплатному обучению граждан основам цифровой и компью</w:t>
      </w:r>
      <w:r>
        <w:rPr>
          <w:rFonts w:ascii="Arial" w:hAnsi="Arial" w:cs="Arial" w:eastAsia="Arial"/>
          <w:sz w:val="20"/>
          <w:szCs w:val="20"/>
          <w:lang w:val="ru-RU" w:bidi="ru-RU"/>
        </w:rPr>
        <w:t xml:space="preserve">терной грамотности по международной программе "e-Citizen - Цифровой гражданин". С целью исполнения новых законодательных требований ежегодно внедряются новые полезные сервисы для населения (например, в 2020 году создан сервис, который позволяет гражданам у</w:t>
      </w:r>
      <w:r>
        <w:rPr>
          <w:rFonts w:ascii="Arial" w:hAnsi="Arial" w:cs="Arial" w:eastAsia="Arial"/>
          <w:sz w:val="20"/>
          <w:szCs w:val="20"/>
          <w:lang w:val="ru-RU" w:bidi="ru-RU"/>
        </w:rPr>
        <w:t xml:space="preserve">знать кадастровую оценку своих объектов недвижимости). Для объединения лучших практик обратной связи, позволяющих принимать и учитывать мнения и пожелания жителей по развитию различных сфер жизни региона, в 2020 году открыт Центр управления регионом (ЦУР).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числе приоритетов развития - цифровая трансформация социально значимых сфер и государст</w:t>
      </w:r>
      <w:r>
        <w:rPr>
          <w:rFonts w:ascii="Arial" w:hAnsi="Arial" w:cs="Arial" w:eastAsia="Arial"/>
          <w:sz w:val="20"/>
          <w:szCs w:val="20"/>
          <w:lang w:val="ru-RU" w:bidi="ru-RU"/>
        </w:rPr>
        <w:t xml:space="preserve">венного управления, повышение качества жизни граждан за счет использования ИКТ при взаимодействии с органами государственной власти и органами местного самоуправления, а также увеличение доли массовых социально значимых услуг, доступных в электронном виде.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Наличие мощного ИТ-сектора позволяет нарастить динамику внедрения новых информационных технологий, ускорить создание цифровых сервисов и платформ в опоре на собственные квалифицированные кадры и бизнес-инициативу.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Приоритетные мероприятия в рамках направления: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планирование поэтапной цифровой трансформации систем управления, отраслей экономики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развитие региональных платформ цифровых сервисов в части функциональных и технологических составляющих, в т.ч. с учетом возможностей их интеграции в федер</w:t>
      </w:r>
      <w:r>
        <w:rPr>
          <w:rFonts w:ascii="Arial" w:hAnsi="Arial" w:cs="Arial" w:eastAsia="Arial"/>
          <w:sz w:val="20"/>
          <w:szCs w:val="20"/>
          <w:lang w:val="ru-RU" w:bidi="ru-RU"/>
        </w:rPr>
        <w:t xml:space="preserve">альные электронные системы; платформы должны отвечать актуальным потребностям общества, включая сферы трудоустройства (цифровые службы занятости), образования, здравоохранения, содействовать в решении организационных задач бизнеса, инвесторов, экспортеров;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мероприятий, направленных на совершенствование и технологическое развитие системы предоставления услуг, льгот д</w:t>
      </w:r>
      <w:r>
        <w:rPr>
          <w:rFonts w:ascii="Arial" w:hAnsi="Arial" w:cs="Arial" w:eastAsia="Arial"/>
          <w:sz w:val="20"/>
          <w:szCs w:val="20"/>
          <w:lang w:val="ru-RU" w:bidi="ru-RU"/>
        </w:rPr>
        <w:t xml:space="preserve">ля жителей, системы вовлечения в социальную активность (в том числе пожилых людей, лиц с ограниченными возможностями, неблагополучных семей и пр.) в электронном виде, одним из возможных форматов может стать система единых цифровых карт для жителей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w:t>
      </w:r>
      <w:r>
        <w:rPr>
          <w:rFonts w:ascii="Arial" w:hAnsi="Arial" w:cs="Arial" w:eastAsia="Arial"/>
          <w:sz w:val="20"/>
          <w:szCs w:val="20"/>
          <w:lang w:val="ru-RU" w:bidi="ru-RU"/>
        </w:rPr>
        <w:t xml:space="preserve">ализация мероприятий, направленных на создание централизованной системы для обеспечения оперативного сбора, интеграции, хранения и обработки региональных данных и их последующего использования в сфере принятия управленческих решений на региональном уровне;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п</w:t>
      </w:r>
      <w:r>
        <w:rPr>
          <w:rFonts w:ascii="Arial" w:hAnsi="Arial" w:cs="Arial" w:eastAsia="Arial"/>
          <w:sz w:val="20"/>
          <w:szCs w:val="20"/>
          <w:lang w:val="ru-RU" w:bidi="ru-RU"/>
        </w:rPr>
        <w:t xml:space="preserve">рограмм обучения цифровой трансформации на базе томских образовательных учреждений среднего профессионального и высшего образования, внедрения цифровых технологий, создания платформенных решений в приоритетных отраслях экономики и социальной сферы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формирование заказа со стороны региональных органов исполнительной власти на цифровые решения от компаний ИТ-отрасли Томской области в следующих возможных форматах: создание открытой онлайн-платформы сбора предложений, проведение конференций поставщи</w:t>
      </w:r>
      <w:r>
        <w:rPr>
          <w:rFonts w:ascii="Arial" w:hAnsi="Arial" w:cs="Arial" w:eastAsia="Arial"/>
          <w:sz w:val="20"/>
          <w:szCs w:val="20"/>
          <w:lang w:val="ru-RU" w:bidi="ru-RU"/>
        </w:rPr>
        <w:t xml:space="preserve">ков, передача задач на хакатоны, конкурсы лучших решений и цифровых инициатив для муниципалитетов на уровне студентов организаций среднего профессионального образования и образовательных организаций высшего образования, а также начинающих предпринимателей;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мероприятий, направленных на организацию работы региональных органов исполнительной власти, органов местного самоуправления, предприятий и организаций региона </w:t>
      </w:r>
      <w:r>
        <w:rPr>
          <w:rFonts w:ascii="Arial" w:hAnsi="Arial" w:cs="Arial" w:eastAsia="Arial"/>
          <w:sz w:val="20"/>
          <w:szCs w:val="20"/>
          <w:lang w:val="ru-RU" w:bidi="ru-RU"/>
        </w:rPr>
        <w:t xml:space="preserve">по отраслям с назначением ответственного на федеральном и региональном уровнях за цифровую трансформации соответствующей социально-экономической сферы в рамках перевода массовых социально значимых государственных и муниципальных услуг в электронный формат;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фо</w:t>
      </w:r>
      <w:r>
        <w:rPr>
          <w:rFonts w:ascii="Arial" w:hAnsi="Arial" w:cs="Arial" w:eastAsia="Arial"/>
          <w:sz w:val="20"/>
          <w:szCs w:val="20"/>
          <w:lang w:val="ru-RU" w:bidi="ru-RU"/>
        </w:rPr>
        <w:t xml:space="preserve">рмирование проектных консорциумов в формате государственно-частного партнерства в целях ускоренной цифровизации социальной сферы, инфраструктурных секторов, системы государственного управления, в партнерстве с ведущими ИТ-компаниями и ассоциациями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проработка вопроса по созданию отделов МФЦ в удаленных районных центрах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Результатом </w:t>
      </w:r>
      <w:r>
        <w:rPr>
          <w:rFonts w:ascii="Arial" w:hAnsi="Arial" w:cs="Arial" w:eastAsia="Arial"/>
          <w:sz w:val="20"/>
          <w:szCs w:val="20"/>
          <w:lang w:val="ru-RU" w:bidi="ru-RU"/>
        </w:rPr>
        <w:t xml:space="preserve">выполнения задачи станет сформированная гибкая цифровая система управления, включающая цифровые сервисы для жителей и бизнеса Томской области (доступные с минимальными издержками) и инфраструктуру, обеспечивающую реализацию стратегических целей и задач раз</w:t>
      </w:r>
      <w:r>
        <w:rPr>
          <w:rFonts w:ascii="Arial" w:hAnsi="Arial" w:cs="Arial" w:eastAsia="Arial"/>
          <w:sz w:val="20"/>
          <w:szCs w:val="20"/>
          <w:lang w:val="ru-RU" w:bidi="ru-RU"/>
        </w:rPr>
        <w:t xml:space="preserve">вития. Индикаторами выполнения задачи станут увеличение доли массовых социально значимых услуг в электронном виде до 95% к 2030 г., рост уровня удовлетворенности качеством предоставления массовых социально значимых услуг в электронном виде до 4,5 к 2030 г.</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5.2. Обеспечить эффективное управление региональными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финансами и совершенствование межбюджетных отношений, в том</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числе повысить эффективность управления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государственными закупками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w:t>
      </w:r>
      <w:r>
        <w:rPr>
          <w:rFonts w:ascii="Arial" w:hAnsi="Arial" w:cs="Arial" w:eastAsia="Arial"/>
          <w:sz w:val="20"/>
          <w:szCs w:val="20"/>
          <w:lang w:val="ru-RU" w:bidi="ru-RU"/>
        </w:rPr>
        <w:t xml:space="preserve">окусе региональной политики - обеспечение долгосрочной сбалансированности и устойчивости региональной финансовой системы, в т.ч. в условиях посткризисного восстановления экономики Томской области, участие Томской области в реализации национальных проектов.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Финансовая система Томской области характеризуется как стабильная. На протяжении ряда лет Министе</w:t>
      </w:r>
      <w:r>
        <w:rPr>
          <w:rFonts w:ascii="Arial" w:hAnsi="Arial" w:cs="Arial" w:eastAsia="Arial"/>
          <w:sz w:val="20"/>
          <w:szCs w:val="20"/>
          <w:lang w:val="ru-RU" w:bidi="ru-RU"/>
        </w:rPr>
        <w:t xml:space="preserve">рство финансов Российской Федерации присваивало области II степень качества управления региональными финансами. Доля дотаций из федерального бюджета в областном бюджете не превышает 10% объема собственных доходов консолидированного бюджета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Вместе с тем в последние годы наблюдается тенденция снижения доходных источников регионального бюджета, в первую очередь из-за принимаемых на федеральном уровне решен</w:t>
      </w:r>
      <w:r>
        <w:rPr>
          <w:rFonts w:ascii="Arial" w:hAnsi="Arial" w:cs="Arial" w:eastAsia="Arial"/>
          <w:sz w:val="20"/>
          <w:szCs w:val="20"/>
          <w:lang w:val="ru-RU" w:bidi="ru-RU"/>
        </w:rPr>
        <w:t xml:space="preserve">ий в сфере налоговой политики: централизация налога на добычу полезных ископаемых в виде углеводородного сырья, изменение порядка взимания платы за негативное воздействие на окружающую среду, ограничение величины арендной платы для недропользователей, введ</w:t>
      </w:r>
      <w:r>
        <w:rPr>
          <w:rFonts w:ascii="Arial" w:hAnsi="Arial" w:cs="Arial" w:eastAsia="Arial"/>
          <w:sz w:val="20"/>
          <w:szCs w:val="20"/>
          <w:lang w:val="ru-RU" w:bidi="ru-RU"/>
        </w:rPr>
        <w:t xml:space="preserve">ение института консолидированных групп налогоплательщиков. Эти решения существенно сократили налоговые поступления в консолидированный бюджет Томской области от нефтегазодобывающих компаний, которые традиционно формируют основную часть региональных доходов</w:t>
      </w:r>
      <w:r>
        <w:rPr>
          <w:rFonts w:ascii="Arial" w:hAnsi="Arial" w:cs="Arial" w:eastAsia="Arial"/>
          <w:sz w:val="20"/>
          <w:szCs w:val="20"/>
          <w:lang w:val="ru-RU" w:bidi="ru-RU"/>
        </w:rPr>
        <w:t xml:space="preserve">. В результате наблюдается очевидный перекос в перераспределении доходных источников между регионом и федеральным центром: ежегодно в федеральный бюджет перечисляется свыше 70% собранных на территории Томской области налогов (в 2019 году из собранных в рег</w:t>
      </w:r>
      <w:r>
        <w:rPr>
          <w:rFonts w:ascii="Arial" w:hAnsi="Arial" w:cs="Arial" w:eastAsia="Arial"/>
          <w:sz w:val="20"/>
          <w:szCs w:val="20"/>
          <w:lang w:val="ru-RU" w:bidi="ru-RU"/>
        </w:rPr>
        <w:t xml:space="preserve">ионе 230 млрд рублей налоговых доходов 171 млрд рублей (74,3%) поступили в федеральный бюджет). Также поступления в бюджет Томской области сокращаются в результате уменьшения объемов добычи нефти, в том числе в рамках "венского" соглашения ОПЕК+ 2020 года.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Уровень расчетной бюджетной о</w:t>
      </w:r>
      <w:r>
        <w:rPr>
          <w:rFonts w:ascii="Arial" w:hAnsi="Arial" w:cs="Arial" w:eastAsia="Arial"/>
          <w:sz w:val="20"/>
          <w:szCs w:val="20"/>
          <w:lang w:val="ru-RU" w:bidi="ru-RU"/>
        </w:rPr>
        <w:t xml:space="preserve">беспеченности региона даже после получения из федерального бюджета дотации на выравнивание бюджетной обеспеченности ежегодно остается ниже среднероссийского уровня, равного 1 (уровень расчетной бюджетной обеспеченности Томской области на 2020 год - 0,760).</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Бюджет Томско</w:t>
      </w:r>
      <w:r>
        <w:rPr>
          <w:rFonts w:ascii="Arial" w:hAnsi="Arial" w:cs="Arial" w:eastAsia="Arial"/>
          <w:sz w:val="20"/>
          <w:szCs w:val="20"/>
          <w:lang w:val="ru-RU" w:bidi="ru-RU"/>
        </w:rPr>
        <w:t xml:space="preserve">й области традиционно социально ориентирован: доля расходов на отрасли социальной сферы ежегодно превышает 60% от общего объема расходов. В структуре расходов бюджета Томской области преобладают расходы на образование, здравоохранение и социальное обеспече</w:t>
      </w:r>
      <w:r>
        <w:rPr>
          <w:rFonts w:ascii="Arial" w:hAnsi="Arial" w:cs="Arial" w:eastAsia="Arial"/>
          <w:sz w:val="20"/>
          <w:szCs w:val="20"/>
          <w:lang w:val="ru-RU" w:bidi="ru-RU"/>
        </w:rPr>
        <w:t xml:space="preserve">ние; предоставление мер социальной поддержки населения. Общий объем расходов областного бюджета в 2019 году составил 70,6 млрд рублей, из них - на образование - 21,0 млрд руб., на социальную политику - 11,5 млрд руб. (без учета платежа по обязательному мед</w:t>
      </w:r>
      <w:r>
        <w:rPr>
          <w:rFonts w:ascii="Arial" w:hAnsi="Arial" w:cs="Arial" w:eastAsia="Arial"/>
          <w:sz w:val="20"/>
          <w:szCs w:val="20"/>
          <w:lang w:val="ru-RU" w:bidi="ru-RU"/>
        </w:rPr>
        <w:t xml:space="preserve">ицинскому страхованию неработающего населения), на сферу здравоохранения (с учетом платежа по обязательному медицинскому страхованию неработающего населения) - 11,8 млрд руб. С учетом средств фонда ОМС расходы на здравоохранение составили 24,6 млрд рублей.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 этом удельный вес бюджетных инвестиций в общем объеме расходов областного бюджета после 2012 года ниже как среднероссийского уровня, так и среднего значения по Сибири.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2020 год принес новые вызовы для сферы управления ре</w:t>
      </w:r>
      <w:r>
        <w:rPr>
          <w:rFonts w:ascii="Arial" w:hAnsi="Arial" w:cs="Arial" w:eastAsia="Arial"/>
          <w:sz w:val="20"/>
          <w:szCs w:val="20"/>
          <w:lang w:val="ru-RU" w:bidi="ru-RU"/>
        </w:rPr>
        <w:t xml:space="preserve">гиональными финансами. В условиях снижения налоговых доходов регионального бюджета потребовались значительные финансовые ресурсы на борьбу с пандемией и ее экономическими и социальными последствиями. Для стабилизации социально-экономической ситуации в реги</w:t>
      </w:r>
      <w:r>
        <w:rPr>
          <w:rFonts w:ascii="Arial" w:hAnsi="Arial" w:cs="Arial" w:eastAsia="Arial"/>
          <w:sz w:val="20"/>
          <w:szCs w:val="20"/>
          <w:lang w:val="ru-RU" w:bidi="ru-RU"/>
        </w:rPr>
        <w:t xml:space="preserve">оне в среднесрочной перспективе потребуются финансовые ресурсы для оказания поддержки организациям пострадавших отраслей экономики - в первую очередь малому и среднему бизнесу при безусловном обеспечении выполнения социальных обязательств перед населением.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Поэтому ключевым приоритетом в сфере</w:t>
      </w:r>
      <w:r>
        <w:rPr>
          <w:rFonts w:ascii="Arial" w:hAnsi="Arial" w:cs="Arial" w:eastAsia="Arial"/>
          <w:sz w:val="20"/>
          <w:szCs w:val="20"/>
          <w:lang w:val="ru-RU" w:bidi="ru-RU"/>
        </w:rPr>
        <w:t xml:space="preserve"> эффективного управления региональными финансами является обеспечение формирования сбалансированного бюджета, в том числе за счет разработки действенных механизмов по мобилизации собственных доходов консолидированного бюджета Томской области, повышения эфф</w:t>
      </w:r>
      <w:r>
        <w:rPr>
          <w:rFonts w:ascii="Arial" w:hAnsi="Arial" w:cs="Arial" w:eastAsia="Arial"/>
          <w:sz w:val="20"/>
          <w:szCs w:val="20"/>
          <w:lang w:val="ru-RU" w:bidi="ru-RU"/>
        </w:rPr>
        <w:t xml:space="preserve">ективности бюджетных расходов, в том числе за счет эффективных государственных закупок, проведения взвешенной политики по управлению государственным долгом региона. Следует обеспечить необходимые условия для обеспечения сбалансированности местных бюджетов.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Индикаторами выполнения задачи к 2030 году станут рейтинг Томской области среди субъектов Российской Федерации по качеству управлени</w:t>
      </w:r>
      <w:r>
        <w:rPr>
          <w:rFonts w:ascii="Arial" w:hAnsi="Arial" w:cs="Arial" w:eastAsia="Arial"/>
          <w:sz w:val="20"/>
          <w:szCs w:val="20"/>
          <w:lang w:val="ru-RU" w:bidi="ru-RU"/>
        </w:rPr>
        <w:t xml:space="preserve">я региональными финансами, соответствующий II степени, а также 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на уровне не менее 7,5%.</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5.3. Повысить эффективность управления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государственным имуществом</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региональной политики - поддержка и повышение уровня эффективности использования государственного имущества, в том числе за счет внедрения цифровых инструментов управления государственной собственностью.</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Государств</w:t>
      </w:r>
      <w:r>
        <w:rPr>
          <w:rFonts w:ascii="Arial" w:hAnsi="Arial" w:cs="Arial" w:eastAsia="Arial"/>
          <w:sz w:val="20"/>
          <w:szCs w:val="20"/>
          <w:lang w:val="ru-RU" w:bidi="ru-RU"/>
        </w:rPr>
        <w:t xml:space="preserve">енное имущество Томской области общей стоимостью 97,1 млрд рублей является активом, обеспечивающим осуществление органами государственной власти Томской области функций государственного управления по решению задач социально-экономического развития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региональной политики по распоряжению государственным имуществом реализуются мероприятия, направленные на повышение эффективности управления государственным имуществом, в частности: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предоставление в аренду и безвозмездное пользование объектов областного государственного имущества, в том числе земельных участков, временно не используемых для государственных нужд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приобретение и отчуждение на возмездной и безвозмездной основе имущества, в том числе путем разграничения имущества между публично-правовыми образованиями, приватизации;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создание, реорганизация и ликвидация областных государственных унитарных предприятий и областных государственных учреждений;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учет государственного имущества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разработка нормативных правовых актов, регламентирующих отношения в сфере управления и распоряжения государственным имуществом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Приоритетными задачами для повышения эффективности управления государственным имуществом Томской области являются: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оптимизация состава и структуры государственного имущества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вовлечение в хозяйственный оборот государственного имущества, невостребованного для выполнения полномочий субъекта Российской Федерации;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контроль за эффективностью использования и сохранностью государственного имущества Томской области, находящегося в областной собственности, в том числе земельных участков;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достоверности, полноты учета государственного имущества Томской области, в том числе путем эксплуатации единой информационной системы учета государственного имущества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обеспечение поступления в областной бюджет неналоговых доходов от использования и реализации государственного имущества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Индикатором выполнения задачи станет </w:t>
      </w:r>
      <w:r>
        <w:rPr>
          <w:rFonts w:ascii="Arial" w:hAnsi="Arial" w:cs="Arial" w:eastAsia="Arial"/>
          <w:sz w:val="20"/>
          <w:szCs w:val="20"/>
          <w:lang w:val="ru-RU" w:bidi="ru-RU"/>
        </w:rPr>
        <w:t xml:space="preserve">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на уровне не менее 90% к 2030 году.</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Задача 5.4. Обеспечить повышение эффективности регионального</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и муниципального управления</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фокусе региональной политики - обеспечение гибкости и адаптивности системы регионального и муниципального управления.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регионе реализуется комплекс мер, направленных на обеспечение эффективного управления с использованием информационных и телекоммуникационных технологий, в рамках проектов "Открытый регион", "Открытый муниципалитет", "Открытые данные".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Реализуются разнообразные образовательные возможн</w:t>
      </w:r>
      <w:r>
        <w:rPr>
          <w:rFonts w:ascii="Arial" w:hAnsi="Arial" w:cs="Arial" w:eastAsia="Arial"/>
          <w:sz w:val="20"/>
          <w:szCs w:val="20"/>
          <w:lang w:val="ru-RU" w:bidi="ru-RU"/>
        </w:rPr>
        <w:t xml:space="preserve">ости для повышения квалификации муниципальных и государственных служащих, в т.ч. в области проектного управления и цифровой трансформации, - такие как участие в федеральных проектах и программах региональных образовательных организаций высшего образования.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2020 год внес в действующую систему планирования и управления региональным развитием серьезн</w:t>
      </w:r>
      <w:r>
        <w:rPr>
          <w:rFonts w:ascii="Arial" w:hAnsi="Arial" w:cs="Arial" w:eastAsia="Arial"/>
          <w:sz w:val="20"/>
          <w:szCs w:val="20"/>
          <w:lang w:val="ru-RU" w:bidi="ru-RU"/>
        </w:rPr>
        <w:t xml:space="preserve">ые коррективы. Кризисные явления потребовали от власти быстрой реакции, изменения планов мероприятий, реструктуризации затрат бюджетов, реализации большого количества незапланированных ранее мероприятий. За продолжительным локдауном и введением противоэпид</w:t>
      </w:r>
      <w:r>
        <w:rPr>
          <w:rFonts w:ascii="Arial" w:hAnsi="Arial" w:cs="Arial" w:eastAsia="Arial"/>
          <w:sz w:val="20"/>
          <w:szCs w:val="20"/>
          <w:lang w:val="ru-RU" w:bidi="ru-RU"/>
        </w:rPr>
        <w:t xml:space="preserve">емиологических ограничений регион приступил к адаптации, смягчению режима самоизоляции граждан. Однако уровень нестабильности внешней экономической среды находится на высоком уровне и кризисные явления, вызванные пандемией, могут сохраняться в перспективе.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От системы управления в этих условиях требуется, как обеспечивать краткосрочный эффективный результат (например, показать эффективность развернутой в кратчайшие сроки противоэпидемиологической системы), так и способност</w:t>
      </w:r>
      <w:r>
        <w:rPr>
          <w:rFonts w:ascii="Arial" w:hAnsi="Arial" w:cs="Arial" w:eastAsia="Arial"/>
          <w:sz w:val="20"/>
          <w:szCs w:val="20"/>
          <w:lang w:val="ru-RU" w:bidi="ru-RU"/>
        </w:rPr>
        <w:t xml:space="preserve">ь справляться с долгосрочными последствиями системной смены бизнес-моделей и новой карты географических рынков. Для сохранения эффективности в этих условиях потребуется менять подходы к управлению устойчивостью (перейти на модель регионального риск-менеджм</w:t>
      </w:r>
      <w:r>
        <w:rPr>
          <w:rFonts w:ascii="Arial" w:hAnsi="Arial" w:cs="Arial" w:eastAsia="Arial"/>
          <w:sz w:val="20"/>
          <w:szCs w:val="20"/>
          <w:lang w:val="ru-RU" w:bidi="ru-RU"/>
        </w:rPr>
        <w:t xml:space="preserve">ента как способности системного восстановления), гибко корректировать направления бюджетной, социальной, промышленной политики в зависимости от данных, получаемых в режиме реального времени, и с использованием передовых технологических решений (дэшбордов).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 эффективность государственного управления непосредственно влияют снижение избыточного государственного регулирования и сокращение административного воздействи</w:t>
      </w:r>
      <w:r>
        <w:rPr>
          <w:rFonts w:ascii="Arial" w:hAnsi="Arial" w:cs="Arial" w:eastAsia="Arial"/>
          <w:sz w:val="20"/>
          <w:szCs w:val="20"/>
          <w:lang w:val="ru-RU" w:bidi="ru-RU"/>
        </w:rPr>
        <w:t xml:space="preserve">я на хозяйствующие субъекты. В связи с этим необходимо снизить количество проводимых контрольных мероприятий в отношении субъектов хозяйственной деятельности и сделать акцент на надзорных мероприятиях в отношении потенциальных нарушителей законодательства.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Система принятия и реализации государственно важных решений на уровне региона должна быть не столько скорректирована, сколько "переобучена" по следующим ключевым направлениям: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Переход к краткосрочным циклам планирования, в том числе програ</w:t>
      </w:r>
      <w:r>
        <w:rPr>
          <w:rFonts w:ascii="Arial" w:hAnsi="Arial" w:cs="Arial" w:eastAsia="Arial"/>
          <w:sz w:val="20"/>
          <w:szCs w:val="20"/>
          <w:lang w:val="ru-RU" w:bidi="ru-RU"/>
        </w:rPr>
        <w:t xml:space="preserve">ммно-проектного (agile). Переход к этапному принципу проектной реализации, когда проекты могут быть закрыты/пересмотрены /перепроектированы на ранних стадиях, в случае если они не реализуются достаточно динамично либо в случае изменения внешних параметров;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Переход на режим перманентного поиска и тестирования новых механизмов, идей развития, в том числе путем вовлечения общественных идей и инициатив. Механизмы поддержки граждан и бизнеса, которые актуальны в период острой фазы кризиса, должны пост</w:t>
      </w:r>
      <w:r>
        <w:rPr>
          <w:rFonts w:ascii="Arial" w:hAnsi="Arial" w:cs="Arial" w:eastAsia="Arial"/>
          <w:sz w:val="20"/>
          <w:szCs w:val="20"/>
          <w:lang w:val="ru-RU" w:bidi="ru-RU"/>
        </w:rPr>
        <w:t xml:space="preserve">епенно дополняться новой генерацией региональных инициатив, направленных на стратегическое долгосрочное развитие области. Необходимо расширять опыт применения региональных форсайтов, форумов общественного будущего, конференций общественного благосостояния;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Переход к межведомственному (командному) типу </w:t>
      </w:r>
      <w:r>
        <w:rPr>
          <w:rFonts w:ascii="Arial" w:hAnsi="Arial" w:cs="Arial" w:eastAsia="Arial"/>
          <w:sz w:val="20"/>
          <w:szCs w:val="20"/>
          <w:lang w:val="ru-RU" w:bidi="ru-RU"/>
        </w:rPr>
        <w:t xml:space="preserve">реализации мероприятий, проектов и программ развития как единственному способу достижения системных стратегических целей развития. Цели развития носят междисциплинарный характер, а их достижение требует объединения усилий органов власти, общества, бизнеса;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кооперационных кадровых проектов в сфере управления для муниципальных служащих и государственных гражданских служащих;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Переход к гибкой системе управления в ключевых секторах. Формирование устойчивых, способных эффективно реагировать на любые вызовы отраслей, систем социального обеспечения, основных инфраструктур.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Реализация образовательных программ по переподготовке муниципальных и государственных гражданских служащих к работе в новых условиях (Программа адаптации к изменениям);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Внедрение в систему управления систем поддержки принятия решений на основе данных и решений искусственного интеллекта (дэшбордов).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Создание условий для успешной и эффективной реализации направлений государственной национальной политики Российской Федерации на территории Томской области становится еще одним важней</w:t>
      </w:r>
      <w:r>
        <w:rPr>
          <w:rFonts w:ascii="Arial" w:hAnsi="Arial" w:cs="Arial" w:eastAsia="Arial"/>
          <w:sz w:val="20"/>
          <w:szCs w:val="20"/>
          <w:lang w:val="ru-RU" w:bidi="ru-RU"/>
        </w:rPr>
        <w:t xml:space="preserve">шим фактором повышения эффективности государственного управления. В связи с этим необходима реализация дополнительного направления - Содействие реализации эффективной государственной национальной политики Российской Федерации на территории 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3"/>
      </w:pPr>
      <w:r>
        <w:rPr>
          <w:rFonts w:ascii="Arial" w:hAnsi="Arial" w:cs="Arial" w:eastAsia="Arial"/>
          <w:b/>
          <w:bCs/>
          <w:sz w:val="20"/>
          <w:szCs w:val="20"/>
          <w:lang w:val="ru-RU" w:bidi="ru-RU"/>
        </w:rPr>
        <w:t xml:space="preserve">Содействие реализации эффективной государственной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национальной политики Российской Федерации на территории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Томской области</w:t>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Приоритетными задачами для повышения эффективности государственной национальной политики Российской Федерации на территории Томской области являются: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совершенствование взаимодействия с лидерами и руководителями национально-культурных и религиозных организаций (включая совершенствование деятельности консультативно-совещательных структур и участия в грантовых конкурсах);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использование Системы мониторинга межнациональных и межконфессиональных отношений и раннего предупреждения конфликтных ситуаций;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совершенствование региональной нормативной правовой базы в сфере национальной политики;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повышение квалификации сотрудников исполнительных органов государственной власти Томской области и органов местного самоуправления Томской области в сфере национальной политики;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привлечение молодежи к реализации мероприятий в сфере национальной политики;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совершенствование программных и иных инструментов планирования мероприятий;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содействие адаптации и интеграции иностранным студентам.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Приоритетными направлениями государственной национальной политики в Томской области до 2030 года станут: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укрепление единства российской нации и этнокультурное развитие народов России на территории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профилактика экстремизма на национальной и религиозной почве;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профилактика межнациональных конфликтов посредством информирования и просвещения жителей Томской области о существующих национальных обычаях, традициях, культурах и религиях;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содействие развитию российского казачества на территории Томской области, в частности проведение межрегионального фестиваля казачьей культуры "Сибирская Братина";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w:t>
      </w:r>
      <w:r>
        <w:rPr>
          <w:rFonts w:ascii="Arial" w:hAnsi="Arial" w:cs="Arial" w:eastAsia="Arial"/>
          <w:sz w:val="20"/>
          <w:szCs w:val="20"/>
          <w:lang w:val="ru-RU" w:bidi="ru-RU"/>
        </w:rPr>
        <w:t xml:space="preserve">ржка экономического и социального развития коренных малочисленных народов Севера, Сибири и Дальнего Востока Российской Федерации на территории Томской области, в частности проведение межрегионального фестиваля коренных малочисленных народов "Этюды Севера";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поддержка сохранения русского языка как языка межкультурного диалога;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социальная и культурная адаптация и интеграция иностранных граждан на территории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Индикаторами выполнения задачи к 2030 г. станут увеличение доли государственных гражданских и</w:t>
      </w:r>
      <w:r>
        <w:rPr>
          <w:rFonts w:ascii="Arial" w:hAnsi="Arial" w:cs="Arial" w:eastAsia="Arial"/>
          <w:sz w:val="20"/>
          <w:szCs w:val="20"/>
          <w:lang w:val="ru-RU" w:bidi="ru-RU"/>
        </w:rPr>
        <w:t xml:space="preserve"> муниципальных служащих Томской области, принявших участие в мероприятиях по профессиональному развитию, до 61% и 47% соответственно, а также увеличение доли граждан, положительно оценивающих состояние межнациональных отношений в Томской области, до 87,5%.</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8. ПОКАЗАТЕЛИ ДОСТИЖЕНИЯ ЦЕЛЕЙ</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СОЦИАЛЬНО-ЭКОНОМИЧЕСКОГО РАЗВИТИЯ ТОМСКОЙ ОБЛАСТИ,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ОЖИДАЕМЫЕ РЕЗУЛЬТАТЫ РЕАЛИЗАЦИИ СТРАТЕГИИ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результате реализации стратегии к 2030 году в Томской области будет сформирована быстрорастущая, высокотехнологична</w:t>
      </w:r>
      <w:r>
        <w:rPr>
          <w:rFonts w:ascii="Arial" w:hAnsi="Arial" w:cs="Arial" w:eastAsia="Arial"/>
          <w:sz w:val="20"/>
          <w:szCs w:val="20"/>
          <w:lang w:val="ru-RU" w:bidi="ru-RU"/>
        </w:rPr>
        <w:t xml:space="preserve">я, высокопроизводительная экономика. Основой конкурентоспособности экономики региона станут диверсифицированный топливно-энергетический комплекс мирового уровня, кластеры глубокой переработки ресурсов (лесная, пищевая, химическая промышленность), новые про</w:t>
      </w:r>
      <w:r>
        <w:rPr>
          <w:rFonts w:ascii="Arial" w:hAnsi="Arial" w:cs="Arial" w:eastAsia="Arial"/>
          <w:sz w:val="20"/>
          <w:szCs w:val="20"/>
          <w:lang w:val="ru-RU" w:bidi="ru-RU"/>
        </w:rPr>
        <w:t xml:space="preserve">мышленные кластеры в сфере высокотехнологичного инжиниринга, микро- и наноэлектроники, точного машиностроения, производства передового оборудования и непроизводственные индустрии (включая индустрию гостеприимства, креативные индустрии, передовую медицину).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долгосрочной перспективе в промышленности Томской области возрастет доля обрабатывающего сектора с продуктами средних и высоких переделов. Регион буде</w:t>
      </w:r>
      <w:r>
        <w:rPr>
          <w:rFonts w:ascii="Arial" w:hAnsi="Arial" w:cs="Arial" w:eastAsia="Arial"/>
          <w:sz w:val="20"/>
          <w:szCs w:val="20"/>
          <w:lang w:val="ru-RU" w:bidi="ru-RU"/>
        </w:rPr>
        <w:t xml:space="preserve">т развиваться как глобально значимый технологический центр с высокомаржинальными продуктовыми и сервисными специализациями, высокой долей инновационных товаров в ВРП. К 2030 году Томская область будет широко представлена на ключевых быстрорастущих технолог</w:t>
      </w:r>
      <w:r>
        <w:rPr>
          <w:rFonts w:ascii="Arial" w:hAnsi="Arial" w:cs="Arial" w:eastAsia="Arial"/>
          <w:sz w:val="20"/>
          <w:szCs w:val="20"/>
          <w:lang w:val="ru-RU" w:bidi="ru-RU"/>
        </w:rPr>
        <w:t xml:space="preserve">ических рынках и будет активно встраиваться в мировые цепочки создания добавленной стоимости. Такие результаты будут достигнуты в т.ч. за счет модернизации существующих и создания новых высокотехнологичных производств и высокопроизводительных рабочих мест.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Томской области будут созданы благоприятные условия для создания и развития малого и среднего бизнеса, в первую очередь - в сфере услуг и высоких 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w:t>
      </w:r>
      <w:r>
        <w:rPr>
          <w:rFonts w:ascii="Arial" w:hAnsi="Arial" w:cs="Arial" w:eastAsia="Arial"/>
          <w:sz w:val="20"/>
          <w:szCs w:val="20"/>
          <w:lang w:val="ru-RU" w:bidi="ru-RU"/>
        </w:rPr>
        <w:t xml:space="preserve"> 2030 году в регионе будет обеспечена диверсифицированная структура высокотехнологичного экспорта, уровень производственной инфраструктуры будет соответствовать передовым стандартам, область станет более привлекательной для внешних и внутренних инвесторов.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 2030 году за счет реализации стратегических проектов, направленных на обеспечение благополучия и качест</w:t>
      </w:r>
      <w:r>
        <w:rPr>
          <w:rFonts w:ascii="Arial" w:hAnsi="Arial" w:cs="Arial" w:eastAsia="Arial"/>
          <w:sz w:val="20"/>
          <w:szCs w:val="20"/>
          <w:lang w:val="ru-RU" w:bidi="ru-RU"/>
        </w:rPr>
        <w:t xml:space="preserve">ва жизни каждого жителя, Томская область станет одним из наиболее привлекательных в России регионов для жителей любых возрастов и социальных групп, включая студентов, высококвалифицированных специалистов, семьи с детьми, пожилое население. Регион будет отв</w:t>
      </w:r>
      <w:r>
        <w:rPr>
          <w:rFonts w:ascii="Arial" w:hAnsi="Arial" w:cs="Arial" w:eastAsia="Arial"/>
          <w:sz w:val="20"/>
          <w:szCs w:val="20"/>
          <w:lang w:val="ru-RU" w:bidi="ru-RU"/>
        </w:rPr>
        <w:t xml:space="preserve">ечать следующим параметрам: сбалансированный, эффективный рынок труда; экологичная, безопасная среда; доступное жилье; высокое качество образования и возможности для развития качественного человеческого капитала; высокотехнологичная медицина; комплексные п</w:t>
      </w:r>
      <w:r>
        <w:rPr>
          <w:rFonts w:ascii="Arial" w:hAnsi="Arial" w:cs="Arial" w:eastAsia="Arial"/>
          <w:sz w:val="20"/>
          <w:szCs w:val="20"/>
          <w:lang w:val="ru-RU" w:bidi="ru-RU"/>
        </w:rPr>
        <w:t xml:space="preserve">рограммы социальной поддержки для наиболее уязвимых социальных групп (население с доходами ниже среднего прожиточного минимума, семьи с детьми, дети-сироты и др.); большое число возможностей для самореализации, спорта и досуга; креативная культурная среда.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Томской области будет сформирована инфраструктура цифрового общества, достигнут высокий уровень "цифровой зрелости" во всех социально-экономических сферах, включая промышленность, здравоохранение, образован</w:t>
      </w:r>
      <w:r>
        <w:rPr>
          <w:rFonts w:ascii="Arial" w:hAnsi="Arial" w:cs="Arial" w:eastAsia="Arial"/>
          <w:sz w:val="20"/>
          <w:szCs w:val="20"/>
          <w:lang w:val="ru-RU" w:bidi="ru-RU"/>
        </w:rPr>
        <w:t xml:space="preserve">ие, культуру, городское и жилищно-коммунальное хозяйство. Каждое домохозяйство Томской области будет иметь широкополосный доступ к сети "Интернет", будет обеспечен простой и удобный доступ населения и бизнеса к любым государственным услугам в онлайн-среде.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 уровне муниципальных обр</w:t>
      </w:r>
      <w:r>
        <w:rPr>
          <w:rFonts w:ascii="Arial" w:hAnsi="Arial" w:cs="Arial" w:eastAsia="Arial"/>
          <w:sz w:val="20"/>
          <w:szCs w:val="20"/>
          <w:lang w:val="ru-RU" w:bidi="ru-RU"/>
        </w:rPr>
        <w:t xml:space="preserve">азований Томской области в долгосрочной перспективе будет обеспечен восстановительный экономический рост за счет развития новых экономических специализаций и снятия ключевых барьеров, включая инфраструктурные (транспортная связанность, ЖКХ-инфраструктура).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результате реализации Стратегии будут достигнуты следующие значения основных показателей социально-экономического развития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Стабилизация численности постоянного населения на уровне 1053,7 тыс. человек в 2030 году;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Прирост валового регионального продукта в сопоставимых ценах в 2030 году по отношению к уровню 2020 года - 40,66%.</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Прирост реально располагаемых денежных доходов населения в 2030 году по отношению к уровню 2020 года - 21,11%.</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Прирост объема производства по виду экономической деятельности "Обрабатывающие производства" в сопоставимых ценах в 2030 году по отношению к уровню 2020 года - 82,79%.</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Экспорт товаров возрастет в 2030 году по отношению к уровню 2020 года в 1,8 раз.</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Ожидаемые результаты по целям и задачам приведены в Таблице 9.</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9 - Показатели достижения целей и задач</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социально-экономического развития Томской области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jc w:val="center"/>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466"/>
        <w:gridCol w:w="5613"/>
        <w:gridCol w:w="907"/>
        <w:gridCol w:w="1020"/>
        <w:gridCol w:w="1020"/>
      </w:tblGrid>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N</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Показатели</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Темп роста ВРП, в сопоставимых ценах к 2020 году,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91,80 </w:t>
            </w:r>
            <w:hyperlink w:history="1">
              <w:r>
                <w:rPr>
                  <w:rFonts w:ascii="Arial" w:hAnsi="Arial" w:cs="Arial" w:eastAsia="Arial"/>
                  <w:color w:val="0000FF"/>
                  <w:sz w:val="20"/>
                  <w:szCs w:val="20"/>
                  <w:lang w:val="ru-RU" w:bidi="ru-RU"/>
                </w:rPr>
                <w:t xml:space="preserve">&lt;*&gt;</w:t>
              </w:r>
            </w:hyperlink>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117,46</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140,66</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продукции высокотехнологичных и наукоемких отраслей экономики в валовом региональном продукте,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21,4</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22,60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25,60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1.1. Обеспечить развитие промышленности в Томской области посредством модернизации системообразующих секторов и создания новых промышленных кластеров</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вида экономической деятельности "Добыча полезных ископаемых" в общем объеме промышленного производства,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32,06</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38,08</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32,58</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Темп роста объема производства по виду экономической деятельности "Обрабатывающие производства" (в сопоставимых ценах, по отношению к 2020 году),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108,60&lt;*&gt;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120,84</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182,79</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1.2. Обеспечить развитие непроизводственных индустрий и рост предпринимательства</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Темп роста объема оказанных услуг в сфере туризма, в действующих ценах к 2020 году,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37,10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162,28</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232,78</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Численность занятых в сфере малого и среднего предпринимательства, включая индивидуальных предпринимателей, тыс. чел.</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145,60 </w:t>
            </w:r>
            <w:hyperlink w:history="1">
              <w:r>
                <w:rPr>
                  <w:rFonts w:ascii="Arial" w:hAnsi="Arial" w:cs="Arial" w:eastAsia="Arial"/>
                  <w:color w:val="0000FF"/>
                  <w:sz w:val="20"/>
                  <w:szCs w:val="20"/>
                  <w:lang w:val="ru-RU" w:bidi="ru-RU"/>
                </w:rPr>
                <w:t xml:space="preserve">&lt;**&gt;</w:t>
              </w:r>
            </w:hyperlink>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158,80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173,10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1.3. Повысить </w:t>
            </w:r>
            <w:r>
              <w:rPr>
                <w:rFonts w:ascii="Arial" w:hAnsi="Arial" w:cs="Arial" w:eastAsia="Arial"/>
                <w:sz w:val="20"/>
                <w:szCs w:val="20"/>
                <w:lang w:val="ru-RU" w:bidi="ru-RU"/>
              </w:rPr>
              <w:t xml:space="preserve">отдачу сектора образования, исследований и разработок, обеспечить развитие высокотехнологичных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внутренних затрат на исследования и разработки в валовом региональном продукте,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Объем инновационных товаров, работ, услуг организаций Томской области, млрд руб.</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19,50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23,30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31,20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1.4. Обеспечить улучшение инвестиционного климата и повышение качества государственного регулирования, содействовать укреплению международных и межрегиональных связей в Томской области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Объем несырьевого неэнергетического экспорта, млрд долл. США</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0,27</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0,33</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0,46</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w:t>
            </w:r>
            <w:r/>
          </w:p>
        </w:tc>
        <w:tc>
          <w:tcPr>
            <w:tcBorders>
              <w:left w:val="single" w:color="000000" w:sz="4" w:space="0"/>
              <w:top w:val="single" w:color="000000" w:sz="4" w:space="0"/>
              <w:right w:val="single" w:color="000000" w:sz="4" w:space="0"/>
              <w:bottom w:val="single" w:color="000000" w:sz="4" w:space="0"/>
            </w:tcBorders>
            <w:tcW w:w="5613" w:type="dxa"/>
            <w:vAlign w:val="top"/>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Темп роста (индекс роста) физического объема инвестиций в основной капитал, за исключением инвестиций инфраструктурных монополий (федеральные проекты) и бюджетных ассигнований федерального бюджета, % к 2020 году</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114,10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170,00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Цель 2. Рациональное использование природного капитала Томской области, устойчивое развитие агропромышленного комплекса</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Объем загрязнений на единицу ВРП, тонн/млрд рублей</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418,80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402,00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376,80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Индекс производства продукции сельского хозяйства в хозяйствах всех категорий (в сопоставимых ценах к 2020 году),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102,90 </w:t>
            </w:r>
            <w:hyperlink w:history="1">
              <w:r>
                <w:rPr>
                  <w:rFonts w:ascii="Arial" w:hAnsi="Arial" w:cs="Arial" w:eastAsia="Arial"/>
                  <w:color w:val="0000FF"/>
                  <w:sz w:val="20"/>
                  <w:szCs w:val="20"/>
                  <w:lang w:val="ru-RU" w:bidi="ru-RU"/>
                </w:rPr>
                <w:t xml:space="preserve">&lt;*&gt;</w:t>
              </w:r>
            </w:hyperlink>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102,82</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113,66</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Индекс производства по виду экономической деятельности "производство пищевых продуктов" (в сопоставимых ценах к 2020 году),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105,00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110,8</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128,87</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2.1. Обеспечить рациональное использование природных ресурсов, в том числе возобновляемых ресурсов, и повысить качество окружающей среды Томской области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твердых коммунальных отходов, направленных на обработку (сортировку), в общей массе образованных твердых коммунальных отходов,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Отношение площади лесовосстановления и лесоразведения к площади вырубленных и погибших лесных насаждений,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66,80 </w:t>
            </w:r>
            <w:hyperlink w:history="1">
              <w:r>
                <w:rPr>
                  <w:rFonts w:ascii="Arial" w:hAnsi="Arial" w:cs="Arial" w:eastAsia="Arial"/>
                  <w:color w:val="0000FF"/>
                  <w:sz w:val="20"/>
                  <w:szCs w:val="20"/>
                  <w:lang w:val="ru-RU" w:bidi="ru-RU"/>
                </w:rPr>
                <w:t xml:space="preserve">&lt;**&gt;</w:t>
              </w:r>
            </w:hyperlink>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100,00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2.2. Обеспечить переход к новым параметрам конкурентоспособности агропромышленного комплекса</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Объем экспорта продукции АПК, млн долл. США</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49,80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58,80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70,50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Объем производства пищевой продукции с применением дикорастущего пищевого сырья, тыс. тонн</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24,6</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26,8</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30,8</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Объем переработки рыбо- и морепродуктов, тыс. тонн</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Цель 3. Повышение уровня и качества жизни населения на всей территории Томской области, накопление человеческого капитала</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Реальные располагаемые денежные доходы населения, % к 2020 году</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97,70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106,1</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121,11</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Общий прирост численности населения, тыс. чел.</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-8,90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3.1. Повысить доступность медицинской помощи и эффективность предоставления медицинских услуг</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Ожидаемая продолжительность жизни при рождении, лет</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71,2</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73,43</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77,89</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Коэффициент смертности на 1 тыс. населения</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13,3</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3.2. Содействовать повышению качества образования в Томской области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Обеспеченность детей дошкольного возраста местами в дошкольных образовательных организациях (количество мест на 1000 детей от 0 до 7 лет), мест</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720,00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751,00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801,00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детей в возрасте от 5 до 18 лет, охваченных услугами дополнительного образования,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54,50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81</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Уровень образования,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60,30 </w:t>
            </w:r>
            <w:hyperlink w:history="1">
              <w:r>
                <w:rPr>
                  <w:rFonts w:ascii="Arial" w:hAnsi="Arial" w:cs="Arial" w:eastAsia="Arial"/>
                  <w:color w:val="0000FF"/>
                  <w:sz w:val="20"/>
                  <w:szCs w:val="20"/>
                  <w:lang w:val="ru-RU" w:bidi="ru-RU"/>
                </w:rPr>
                <w:t xml:space="preserve">&lt;**&gt;</w:t>
              </w:r>
            </w:hyperlink>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61,80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62,20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3.3. Содействовать развитию строительного комплекса, повышению качества жилищных условий, доступности жилья и качества городской среды</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Количество семей, улучшивших жилищные условия, тыс. семей</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25,60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31,60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Объем жилищного строительства, млн кв. метров</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0,452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0,546</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0,874</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Прирост среднего индекса качества городской среды по отношению к 2019 году,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4,00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54,00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3.4. Обеспечить повышение безопасности жизнедеятельности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Количество населения, погибшего и пострадавшего при чрезвычайных ситуациях, погибших на пожарах, чел.</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68,00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Количество зарегистрированных преступлений (на 100 тыс. населения), ед.</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1611,5</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1611,00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1605,00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3.5. Обеспечить развитие физической культуры и спорта, проведение эффективной молодежной политики в Томской области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граждан, систематически занимающихся физической культурой и спортом,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41,80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55,00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70,00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Общая численность граждан Российской Федерации, в</w:t>
            </w:r>
            <w:r>
              <w:rPr>
                <w:rFonts w:ascii="Arial" w:hAnsi="Arial" w:cs="Arial" w:eastAsia="Arial"/>
                <w:sz w:val="20"/>
                <w:szCs w:val="20"/>
                <w:lang w:val="ru-RU" w:bidi="ru-RU"/>
              </w:rPr>
              <w:t xml:space="preserve">овлеченных центрами (сообществами, объединениями) поддержки добровольчества (волонтерства)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тыс. чел.</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32,00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147,90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3.6. Содействовать развитию эффективного рынка труда и кадровому обеспечению экономики Томской области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Уровень безработицы (по методологии Международной организации труда),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Индекс реальной среднемесячной заработной платы, % к базовому году</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100,00 </w:t>
            </w:r>
            <w:hyperlink w:history="1">
              <w:r>
                <w:rPr>
                  <w:rFonts w:ascii="Arial" w:hAnsi="Arial" w:cs="Arial" w:eastAsia="Arial"/>
                  <w:color w:val="0000FF"/>
                  <w:sz w:val="20"/>
                  <w:szCs w:val="20"/>
                  <w:lang w:val="ru-RU" w:bidi="ru-RU"/>
                </w:rPr>
                <w:t xml:space="preserve">&lt;**&gt;</w:t>
              </w:r>
            </w:hyperlink>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109,90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127,00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3.7. Повысить качество, актуальность и доступность услуг в сфере культуры в Томской области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Количество созданных (реконструированных) и капитально отремонтированных объектов организаций культуры, ед. нарастающим итогом (к 01.01.2018)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Число посещений культурных мероприятий, тыс. единиц</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4137,00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16229,00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32306,00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3.8. Повысить качество и доступность социальной поддержки и социального обслуживания населения, в том числе детей</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Уровень бедности,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14,4</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мер социальной поддержки, предоставляемых с учетом критериев нуждаемости,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36,7</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40,2</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детей-сирот и детей, оставшихся без попечения родителей, в общей численности детского населения,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1,97</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1,82</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Цель 4. Сбалансированное территориальное развитие, в т.ч. за счет развития инфраструктуры в Томской области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Энергоемкость валового регионального продукта, кг условного топлива/10 тыс. рублей</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92,20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75,81</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59,25</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Протяженность дорог общего пользования с твердым покрытием, км</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7519,40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7522,70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7533,00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Рост доли домохозяйств, которым обеспечена возможность широкополосного доступа к информационно-телекоммуникационной сети Интернет,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75,60 </w:t>
            </w:r>
            <w:hyperlink w:history="1">
              <w:r>
                <w:rPr>
                  <w:rFonts w:ascii="Arial" w:hAnsi="Arial" w:cs="Arial" w:eastAsia="Arial"/>
                  <w:color w:val="0000FF"/>
                  <w:sz w:val="20"/>
                  <w:szCs w:val="20"/>
                  <w:lang w:val="ru-RU" w:bidi="ru-RU"/>
                </w:rPr>
                <w:t xml:space="preserve">&lt;**&gt;</w:t>
              </w:r>
            </w:hyperlink>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90,20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97,00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4.1. Обеспечить устойчивое развитие муниципальных образований Томской области, в т.ч. сельских территорий Томской области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Соотношение среднемесячных располагаемых ресурсов сельского и городского домохозяйств,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79,07</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79,69</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80,31</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сельского населения в общей численности населения Томской области,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27,30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27,33</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27,39</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4.2. Содействовать повышению эффективности транспортной системы и информационно-коммуникационной инфраструктуры Томской области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дорожной сети в городских агломерациях, находящихся в нормативном состоянии,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67,00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85,00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85,00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46</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Объем пассажиропотока авиасообщения Томской области, тыс. пассажиров</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808,17</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1097,17</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4.3. Обеспечить модернизацию и развитие коммунальной инфраструктуры, в т.ч. повысить энергоэффективность в Томской области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Количество аварий в системах теплоснабжения, водоснабжения и очистки сточных вод, ед.</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164</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129,00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70,00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Уровень газификации природным газом жилищного фонда Томской области, подлежащего газификации,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Удельный расход топлива на отпущенную электрическую энергию объектами, функционирующими в режиме комбинированной выработки электрической и тепловой энергии, г.у.т/кВт x ч</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332,70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328,30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290,00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Цель 5. Эффективное управление регионом и цифровая трансформация</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населения, удовлетворенного деятельностью государственных органов исполнительной власти региона, % от числа опрошенных</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 менее 42</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 менее 50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Достижение "цифровой зрелости" ключевых отраслей экономики и социальной сферы, в том числе здравоохранения и образования, а также государственного управления,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4,00 </w:t>
            </w:r>
            <w:hyperlink w:history="1">
              <w:r>
                <w:rPr>
                  <w:rFonts w:ascii="Arial" w:hAnsi="Arial" w:cs="Arial" w:eastAsia="Arial"/>
                  <w:color w:val="0000FF"/>
                  <w:sz w:val="20"/>
                  <w:szCs w:val="20"/>
                  <w:lang w:val="ru-RU" w:bidi="ru-RU"/>
                </w:rPr>
                <w:t xml:space="preserve">&lt;**&gt;</w:t>
              </w:r>
            </w:hyperlink>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100,00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5.1. Создание системы управления на базе цифровых платформ, в т.ч. в государственном секторе</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Увеличение доли массовых социально значимых услуг в электронном виде,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4,95 &lt;**&gt;</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Уровень удовлетворенности качеством предоставления массовых социально значимых государственных и муниципальных услуг в электронном виде с использованием Единого портала государственных и муниципальных услуг (ЕПГУ)</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5.2. Обеспечить эффективное управление региональными финансами и совершенствование межбюджетных отношений, в том числе повысить эффективность управления государственными закупками</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Рейтинг Томской области среди субъектов Российской Федерации по качеству управления региональными финансами (степень качества)</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III степень</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II степень</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II степень</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55</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14,70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 менее 7,5</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 менее 7,5</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5.3. Повысить эффективность управления государственным имуществом</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 менее 90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 менее 90</w:t>
            </w:r>
            <w:r/>
          </w:p>
        </w:tc>
      </w:tr>
      <w:tr>
        <w:trPr>
          <w:jc w:val="center"/>
        </w:trPr>
        <w:tc>
          <w:tcPr>
            <w:gridSpan w:val="5"/>
            <w:tcBorders>
              <w:left w:val="single" w:color="000000" w:sz="4" w:space="0"/>
              <w:top w:val="single" w:color="000000" w:sz="4" w:space="0"/>
              <w:right w:val="single" w:color="000000" w:sz="4" w:space="0"/>
              <w:bottom w:val="single" w:color="000000" w:sz="4" w:space="0"/>
            </w:tcBorders>
            <w:tcW w:w="902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Задача 5.4. Обеспечить повышение эффективности регионального и муниципального управления</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государственных гражданских служащих Томской области, принявших участие в мероприятиях по профессиональному развитию,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муниципальных служащих Томской области, принявших участие в мероприятиях по профессиональному развитию,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47,00</w:t>
            </w:r>
            <w:r/>
          </w:p>
        </w:tc>
      </w:tr>
      <w:tr>
        <w:trPr>
          <w:jc w:val="center"/>
        </w:trPr>
        <w:tc>
          <w:tcPr>
            <w:tcBorders>
              <w:left w:val="single" w:color="000000" w:sz="4" w:space="0"/>
              <w:top w:val="single" w:color="000000" w:sz="4" w:space="0"/>
              <w:right w:val="single" w:color="000000" w:sz="4" w:space="0"/>
              <w:bottom w:val="single" w:color="000000" w:sz="4" w:space="0"/>
            </w:tcBorders>
            <w:tcW w:w="4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5613"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Доля граждан, положительно оценивающих состояние межнациональных отношений в Томской области, %</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82,00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84,00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86,5</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w:t>
      </w:r>
      <w:r/>
    </w:p>
    <w:p>
      <w:pPr>
        <w:pStyle w:val="808"/>
        <w:ind w:left="0" w:right="0" w:firstLine="540"/>
        <w:jc w:val="both"/>
        <w:spacing w:lineRule="auto" w:line="240" w:after="0" w:before="200"/>
        <w:rPr>
          <w:rFonts w:ascii="Arial" w:hAnsi="Arial" w:cs="Arial" w:eastAsia="Arial"/>
          <w:sz w:val="20"/>
          <w:szCs w:val="20"/>
          <w:lang w:val="ru-RU" w:bidi="ru-RU"/>
        </w:rPr>
      </w:pPr>
      <w:r/>
      <w:bookmarkStart w:id="2" w:name="Par2695"/>
      <w:r/>
      <w:bookmarkEnd w:id="2"/>
      <w:r>
        <w:rPr>
          <w:rFonts w:ascii="Arial" w:hAnsi="Arial" w:cs="Arial" w:eastAsia="Arial"/>
          <w:sz w:val="20"/>
          <w:szCs w:val="20"/>
          <w:lang w:val="ru-RU" w:bidi="ru-RU"/>
        </w:rPr>
        <w:t xml:space="preserve">&lt;*&gt; - значение показателя за 2020 год указано к уровню 2019 года;</w:t>
      </w:r>
      <w:r/>
    </w:p>
    <w:p>
      <w:pPr>
        <w:pStyle w:val="808"/>
        <w:ind w:left="0" w:right="0" w:firstLine="540"/>
        <w:jc w:val="both"/>
        <w:spacing w:lineRule="auto" w:line="240" w:after="0" w:before="200"/>
        <w:rPr>
          <w:rFonts w:ascii="Arial" w:hAnsi="Arial" w:cs="Arial" w:eastAsia="Arial"/>
          <w:sz w:val="20"/>
          <w:szCs w:val="20"/>
          <w:lang w:val="ru-RU" w:bidi="ru-RU"/>
        </w:rPr>
      </w:pPr>
      <w:r/>
      <w:bookmarkStart w:id="3" w:name="Par2696"/>
      <w:r/>
      <w:bookmarkEnd w:id="3"/>
      <w:r>
        <w:rPr>
          <w:rFonts w:ascii="Arial" w:hAnsi="Arial" w:cs="Arial" w:eastAsia="Arial"/>
          <w:sz w:val="20"/>
          <w:szCs w:val="20"/>
          <w:lang w:val="ru-RU" w:bidi="ru-RU"/>
        </w:rPr>
        <w:t xml:space="preserve">&lt;**&gt; - за 2020 год данные по значениям показателей взяты из проекта Единого плана по достижению национальных целей развития Российской Федерации на период до 2024 года и на плановый период до 2030 (в редакции от 01.03.2021).</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9. ОЦЕНКА ФИНАНСОВЫХ РЕСУРСОВ, НЕОБХОДИМЫХ</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ДЛЯ РЕАЛИЗАЦИИ СТРАТЕГИИ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Стратегии потребует привлечения значительных финансовых ресурсов. Прогнозируемый общий объем финансовых ресурсов, необходим</w:t>
      </w:r>
      <w:r>
        <w:rPr>
          <w:rFonts w:ascii="Arial" w:hAnsi="Arial" w:cs="Arial" w:eastAsia="Arial"/>
          <w:sz w:val="20"/>
          <w:szCs w:val="20"/>
          <w:lang w:val="ru-RU" w:bidi="ru-RU"/>
        </w:rPr>
        <w:t xml:space="preserve">ых для реализации мероприятий, заложенных в Плане реализации Стратегии, составляет 1938,02 млрд рублей. Их источниками станут бюджетные (федеральный бюджет, областной бюджет, местные бюджеты) и внебюджетные средства (средства предприятий-инвесторов и др.).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w:t>
      </w:r>
      <w:r>
        <w:rPr>
          <w:rFonts w:ascii="Arial" w:hAnsi="Arial" w:cs="Arial" w:eastAsia="Arial"/>
          <w:sz w:val="20"/>
          <w:szCs w:val="20"/>
          <w:lang w:val="ru-RU" w:bidi="ru-RU"/>
        </w:rPr>
        <w:t xml:space="preserve">ивлечение средств федерального бюджета для реализации Стратегии планируется осуществлять в соответствии с действующим порядком финансирования государственных программ Российской Федерации, федеральных целевых программ, федеральной адресной инвестиционной п</w:t>
      </w:r>
      <w:r>
        <w:rPr>
          <w:rFonts w:ascii="Arial" w:hAnsi="Arial" w:cs="Arial" w:eastAsia="Arial"/>
          <w:sz w:val="20"/>
          <w:szCs w:val="20"/>
          <w:lang w:val="ru-RU" w:bidi="ru-RU"/>
        </w:rPr>
        <w:t xml:space="preserve">рограммы, правилами предоставления бюджетных ассигнований Инвестиционного фонда Российской Федерации, порядком финансирования национальных проектов, в пределах общего объема бюджетных ассигнований, утвержденного федеральным бюджетом на соответствующий год.</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Государственная поддержка за счет средств федерального бюджета будет направлена на реализацию мероприятий и приоритетных инфраструктурных проек</w:t>
      </w:r>
      <w:r>
        <w:rPr>
          <w:rFonts w:ascii="Arial" w:hAnsi="Arial" w:cs="Arial" w:eastAsia="Arial"/>
          <w:sz w:val="20"/>
          <w:szCs w:val="20"/>
          <w:lang w:val="ru-RU" w:bidi="ru-RU"/>
        </w:rPr>
        <w:t xml:space="preserve">тов Концепции создания в Томской области инновационного территориального центра "ИНО Томск". Кроме того, средства федерального бюджета будут использоваться на осуществление инвестиционных проектов, имеющих федеральное и межрегиональное значение, прежде все</w:t>
      </w:r>
      <w:r>
        <w:rPr>
          <w:rFonts w:ascii="Arial" w:hAnsi="Arial" w:cs="Arial" w:eastAsia="Arial"/>
          <w:sz w:val="20"/>
          <w:szCs w:val="20"/>
          <w:lang w:val="ru-RU" w:bidi="ru-RU"/>
        </w:rPr>
        <w:t xml:space="preserve">го на капиталоемких проектах развития высокотехнологичных отраслей хозяйства, ядерных технологий, транспортной и инженерной инфраструктуры, сохранения окружающей среды, а также на проектах и мероприятиях, направленных на развитие социальной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w:t>
      </w:r>
      <w:r>
        <w:rPr>
          <w:rFonts w:ascii="Arial" w:hAnsi="Arial" w:cs="Arial" w:eastAsia="Arial"/>
          <w:sz w:val="20"/>
          <w:szCs w:val="20"/>
          <w:lang w:val="ru-RU" w:bidi="ru-RU"/>
        </w:rPr>
        <w:t xml:space="preserve">стижение целей и задач Стратегии за счет всех источников финансирования будет осуществляться в рамках реализации государственных программ Томской области. Объем бюджетных средств на реализацию государственных программ Томской области утвержден бюджетным пр</w:t>
      </w:r>
      <w:r>
        <w:rPr>
          <w:rFonts w:ascii="Arial" w:hAnsi="Arial" w:cs="Arial" w:eastAsia="Arial"/>
          <w:sz w:val="20"/>
          <w:szCs w:val="20"/>
          <w:lang w:val="ru-RU" w:bidi="ru-RU"/>
        </w:rPr>
        <w:t xml:space="preserve">огнозом Томской области на период до 2030 года (далее - Бюджетный прогноз Томской области) и ежегодно будет уточняться по итогам оценки эффективности реализации государственных программ Томской области, исходя из возможностей областного и местных бюджетов.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Согласно бюджетному прогнозу Томской области на период до 2030 года с учетом сохранения общих направлений налоговой, бюджетной и долговой политики Томской области прогноз расходов областного бюджета Томской области (с учетом средств федер</w:t>
      </w:r>
      <w:r>
        <w:rPr>
          <w:rFonts w:ascii="Arial" w:hAnsi="Arial" w:cs="Arial" w:eastAsia="Arial"/>
          <w:sz w:val="20"/>
          <w:szCs w:val="20"/>
          <w:lang w:val="ru-RU" w:bidi="ru-RU"/>
        </w:rPr>
        <w:t xml:space="preserve">ального бюджета, поступивших в областной бюджет) на реализацию мероприятий, заложенных в Плане реализации Стратегии, составляет 895,3 млрд рублей при объеме государственного долга Томской области не более 64% от налоговых и неналоговых доходов в 2030 году.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Важнейшим финансовым ресурсом для реализации Стратегии я</w:t>
      </w:r>
      <w:r>
        <w:rPr>
          <w:rFonts w:ascii="Arial" w:hAnsi="Arial" w:cs="Arial" w:eastAsia="Arial"/>
          <w:sz w:val="20"/>
          <w:szCs w:val="20"/>
          <w:lang w:val="ru-RU" w:bidi="ru-RU"/>
        </w:rPr>
        <w:t xml:space="preserve">вляются внебюджетные средства, которые могут привлекаться в реализацию перспективных инфраструктурных, социальных, инновационных, природоохранных и иных проектов на принципах государственно-частного партнерства, а также за счет средств институтов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Перспективы и темпы социально-экономического развития Томской области во многом будут определяться объемами инвестиций и реализацией инвестиционных про</w:t>
      </w:r>
      <w:r>
        <w:rPr>
          <w:rFonts w:ascii="Arial" w:hAnsi="Arial" w:cs="Arial" w:eastAsia="Arial"/>
          <w:sz w:val="20"/>
          <w:szCs w:val="20"/>
          <w:lang w:val="ru-RU" w:bidi="ru-RU"/>
        </w:rPr>
        <w:t xml:space="preserve">ектов. Инвестиции в развитие инфраструктуры создают необходимые условия для функционирования и развития основных отраслей, обеспечения максимально эффективного использования экономического и производственного потенциала, улучшения качества жизни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реализации целей Стратегии необходимо масштабное привлечение внебюджетных средств отечественных и инос</w:t>
      </w:r>
      <w:r>
        <w:rPr>
          <w:rFonts w:ascii="Arial" w:hAnsi="Arial" w:cs="Arial" w:eastAsia="Arial"/>
          <w:sz w:val="20"/>
          <w:szCs w:val="20"/>
          <w:lang w:val="ru-RU" w:bidi="ru-RU"/>
        </w:rPr>
        <w:t xml:space="preserve">транных инвесторов в проекты на территории Томской области. Ключевая задача по интенсивному развитию передовых производств может быть решена в результате увеличения объема привлекаемых внешних инвестиций почти в два раза по сравнению с современным уровнем.</w:t>
      </w:r>
      <w:r/>
    </w:p>
    <w:p>
      <w:pPr>
        <w:pStyle w:val="808"/>
        <w:ind w:left="0" w:right="0" w:firstLine="540"/>
        <w:jc w:val="both"/>
        <w:spacing w:lineRule="auto" w:line="240" w:after="0" w:before="200"/>
        <w:rPr>
          <w:rFonts w:ascii="Arial" w:hAnsi="Arial" w:cs="Arial" w:eastAsia="Arial"/>
          <w:sz w:val="20"/>
          <w:szCs w:val="20"/>
          <w:lang w:val="ru-RU" w:bidi="ru-RU"/>
        </w:rPr>
        <w:sectPr>
          <w:headerReference w:type="default" r:id="rId8"/>
          <w:footerReference w:type="default" r:id="rId11"/>
          <w:footnotePr>
            <w:pos w:val="pageBottom"/>
          </w:footnotePr>
          <w:endnotePr/>
          <w:type w:val="nextPage"/>
          <w:pgSz w:w="11906" w:h="16838" w:orient="portrait"/>
          <w:pgMar w:top="1440" w:right="566" w:bottom="1440" w:left="1133" w:header="0" w:footer="0" w:gutter="0"/>
          <w:cols w:num="1" w:sep="0" w:space="720" w:equalWidth="1"/>
          <w:docGrid w:linePitch="360"/>
          <w:titlePg/>
        </w:sectPr>
      </w:pPr>
      <w:r>
        <w:rPr>
          <w:rFonts w:ascii="Arial" w:hAnsi="Arial" w:cs="Arial" w:eastAsia="Arial"/>
          <w:sz w:val="20"/>
          <w:szCs w:val="20"/>
          <w:lang w:val="ru-RU" w:bidi="ru-RU"/>
        </w:rPr>
        <w:t xml:space="preserve">Согласно прогнозу социально-экономического раз</w:t>
      </w:r>
      <w:r>
        <w:rPr>
          <w:rFonts w:ascii="Arial" w:hAnsi="Arial" w:cs="Arial" w:eastAsia="Arial"/>
          <w:sz w:val="20"/>
          <w:szCs w:val="20"/>
          <w:lang w:val="ru-RU" w:bidi="ru-RU"/>
        </w:rPr>
        <w:t xml:space="preserve">вития Томской области на период до 2030 года для реализации целевого сценария социально-экономического развития Томской области потребуется привлечь не менее 1344,5 млрд рублей инвестиций в основной капитал, из которых 323,2 млрд рублей за счет привлеченны</w:t>
      </w:r>
      <w:r>
        <w:rPr>
          <w:rFonts w:ascii="Arial" w:hAnsi="Arial" w:cs="Arial" w:eastAsia="Arial"/>
          <w:sz w:val="20"/>
          <w:szCs w:val="20"/>
          <w:lang w:val="ru-RU" w:bidi="ru-RU"/>
        </w:rPr>
        <w:t xml:space="preserve">х средств (таблица 10). В целом изменение структуры инвестиций будет соответствовать структурным изменениям в экономике и социальной сфере области, в частности прогнозируется активизация инвестиционной деятельности в отраслях обрабатывающей промышленности.</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10 - Объем инвестиций в основной капитал,</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необходимый для реализации целевого сценария развития</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Томской области (согласно долгосрочному прогнозу</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социально-экономического развития Томской области до 2030 года)</w:t>
      </w:r>
      <w:r/>
    </w:p>
    <w:tbl>
      <w:tblPr>
        <w:tblStyle w:val="807"/>
        <w:tblW w:w="16543" w:type="dxa"/>
        <w:tblInd w:w="-1072"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2211"/>
        <w:gridCol w:w="1066"/>
        <w:gridCol w:w="1276"/>
        <w:gridCol w:w="1382"/>
        <w:gridCol w:w="1077"/>
        <w:gridCol w:w="1020"/>
        <w:gridCol w:w="1134"/>
        <w:gridCol w:w="1077"/>
        <w:gridCol w:w="1020"/>
        <w:gridCol w:w="1029"/>
        <w:gridCol w:w="1077"/>
        <w:gridCol w:w="1020"/>
        <w:gridCol w:w="1077"/>
        <w:gridCol w:w="1077"/>
      </w:tblGrid>
      <w:tr>
        <w:trPr/>
        <w:tc>
          <w:tcPr>
            <w:tcBorders>
              <w:left w:val="single" w:color="000000" w:sz="4" w:space="0"/>
              <w:top w:val="single" w:color="000000" w:sz="4" w:space="0"/>
              <w:right w:val="single" w:color="000000" w:sz="4" w:space="0"/>
              <w:bottom w:val="single" w:color="000000" w:sz="4" w:space="0"/>
            </w:tcBorders>
            <w:tcW w:w="2211" w:type="dxa"/>
            <w:vAlign w:val="bottom"/>
            <w:vMerge w:val="restart"/>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066" w:type="dxa"/>
            <w:vAlign w:val="top"/>
            <w:vMerge w:val="restart"/>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Единица измерения</w:t>
            </w:r>
            <w:r/>
          </w:p>
        </w:tc>
        <w:tc>
          <w:tcPr>
            <w:tcBorders>
              <w:left w:val="single" w:color="000000" w:sz="4" w:space="0"/>
              <w:top w:val="single" w:color="000000" w:sz="4" w:space="0"/>
              <w:right w:val="single" w:color="000000" w:sz="4" w:space="0"/>
              <w:bottom w:val="single" w:color="000000" w:sz="4" w:space="0"/>
            </w:tcBorders>
            <w:tcW w:w="1276"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1382"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(оценочное) значение</w:t>
            </w:r>
            <w:r/>
          </w:p>
        </w:tc>
        <w:tc>
          <w:tcPr>
            <w:gridSpan w:val="10"/>
            <w:tcBorders>
              <w:left w:val="single" w:color="000000" w:sz="4" w:space="0"/>
              <w:top w:val="single" w:color="000000" w:sz="4" w:space="0"/>
              <w:right w:val="single" w:color="000000" w:sz="4" w:space="0"/>
              <w:bottom w:val="single" w:color="000000" w:sz="4" w:space="0"/>
            </w:tcBorders>
            <w:tcW w:w="10608"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Прогнозные значения</w:t>
            </w:r>
            <w:r/>
          </w:p>
        </w:tc>
      </w:tr>
      <w:tr>
        <w:trPr/>
        <w:tc>
          <w:tcPr>
            <w:tcBorders>
              <w:left w:val="single" w:color="000000" w:sz="4" w:space="0"/>
              <w:top w:val="single" w:color="000000" w:sz="4" w:space="0"/>
              <w:right w:val="single" w:color="000000" w:sz="4" w:space="0"/>
              <w:bottom w:val="single" w:color="000000" w:sz="4" w:space="0"/>
            </w:tcBorders>
            <w:tcW w:w="2211"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066"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276"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w:t>
            </w:r>
            <w:r/>
          </w:p>
        </w:tc>
        <w:tc>
          <w:tcPr>
            <w:tcBorders>
              <w:left w:val="single" w:color="000000" w:sz="4" w:space="0"/>
              <w:top w:val="single" w:color="000000" w:sz="4" w:space="0"/>
              <w:right w:val="single" w:color="000000" w:sz="4" w:space="0"/>
              <w:bottom w:val="single" w:color="000000" w:sz="4" w:space="0"/>
            </w:tcBorders>
            <w:tcW w:w="1382"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c>
          <w:tcPr>
            <w:tcBorders>
              <w:left w:val="single" w:color="000000" w:sz="4" w:space="0"/>
              <w:top w:val="single" w:color="000000" w:sz="4" w:space="0"/>
              <w:right w:val="single" w:color="000000" w:sz="4" w:space="0"/>
              <w:bottom w:val="single" w:color="000000" w:sz="4" w:space="0"/>
            </w:tcBorders>
            <w:tcW w:w="10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2021</w:t>
            </w:r>
            <w:r/>
          </w:p>
        </w:tc>
        <w:tc>
          <w:tcPr>
            <w:tcBorders>
              <w:left w:val="single" w:color="000000" w:sz="4" w:space="0"/>
              <w:top w:val="single" w:color="000000" w:sz="4" w:space="0"/>
              <w:right w:val="single" w:color="000000" w:sz="4" w:space="0"/>
              <w:bottom w:val="single" w:color="000000" w:sz="4" w:space="0"/>
            </w:tcBorders>
            <w:tcW w:w="102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2022</w:t>
            </w:r>
            <w:r/>
          </w:p>
        </w:tc>
        <w:tc>
          <w:tcPr>
            <w:tcBorders>
              <w:left w:val="single" w:color="000000" w:sz="4" w:space="0"/>
              <w:top w:val="single" w:color="000000" w:sz="4" w:space="0"/>
              <w:right w:val="single" w:color="000000" w:sz="4" w:space="0"/>
              <w:bottom w:val="single" w:color="000000" w:sz="4" w:space="0"/>
            </w:tcBorders>
            <w:tcW w:w="1134"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2023</w:t>
            </w:r>
            <w:r/>
          </w:p>
        </w:tc>
        <w:tc>
          <w:tcPr>
            <w:tcBorders>
              <w:left w:val="single" w:color="000000" w:sz="4" w:space="0"/>
              <w:top w:val="single" w:color="000000" w:sz="4" w:space="0"/>
              <w:right w:val="single" w:color="000000" w:sz="4" w:space="0"/>
              <w:bottom w:val="single" w:color="000000" w:sz="4" w:space="0"/>
            </w:tcBorders>
            <w:tcW w:w="10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w:t>
            </w:r>
            <w:r/>
          </w:p>
        </w:tc>
        <w:tc>
          <w:tcPr>
            <w:tcBorders>
              <w:left w:val="single" w:color="000000" w:sz="4" w:space="0"/>
              <w:top w:val="single" w:color="000000" w:sz="4" w:space="0"/>
              <w:right w:val="single" w:color="000000" w:sz="4" w:space="0"/>
              <w:bottom w:val="single" w:color="000000" w:sz="4" w:space="0"/>
            </w:tcBorders>
            <w:tcW w:w="102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2025</w:t>
            </w:r>
            <w:r/>
          </w:p>
        </w:tc>
        <w:tc>
          <w:tcPr>
            <w:tcBorders>
              <w:left w:val="single" w:color="000000" w:sz="4" w:space="0"/>
              <w:top w:val="single" w:color="000000" w:sz="4" w:space="0"/>
              <w:right w:val="single" w:color="000000" w:sz="4" w:space="0"/>
              <w:bottom w:val="single" w:color="000000" w:sz="4" w:space="0"/>
            </w:tcBorders>
            <w:tcW w:w="1029"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2026</w:t>
            </w:r>
            <w:r/>
          </w:p>
        </w:tc>
        <w:tc>
          <w:tcPr>
            <w:tcBorders>
              <w:left w:val="single" w:color="000000" w:sz="4" w:space="0"/>
              <w:top w:val="single" w:color="000000" w:sz="4" w:space="0"/>
              <w:right w:val="single" w:color="000000" w:sz="4" w:space="0"/>
              <w:bottom w:val="single" w:color="000000" w:sz="4" w:space="0"/>
            </w:tcBorders>
            <w:tcW w:w="10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2027</w:t>
            </w:r>
            <w:r/>
          </w:p>
        </w:tc>
        <w:tc>
          <w:tcPr>
            <w:tcBorders>
              <w:left w:val="single" w:color="000000" w:sz="4" w:space="0"/>
              <w:top w:val="single" w:color="000000" w:sz="4" w:space="0"/>
              <w:right w:val="single" w:color="000000" w:sz="4" w:space="0"/>
              <w:bottom w:val="single" w:color="000000" w:sz="4" w:space="0"/>
            </w:tcBorders>
            <w:tcW w:w="1020"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2028</w:t>
            </w:r>
            <w:r/>
          </w:p>
        </w:tc>
        <w:tc>
          <w:tcPr>
            <w:tcBorders>
              <w:left w:val="single" w:color="000000" w:sz="4" w:space="0"/>
              <w:top w:val="single" w:color="000000" w:sz="4" w:space="0"/>
              <w:right w:val="single" w:color="000000" w:sz="4" w:space="0"/>
              <w:bottom w:val="single" w:color="000000" w:sz="4" w:space="0"/>
            </w:tcBorders>
            <w:tcW w:w="10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2029</w:t>
            </w:r>
            <w:r/>
          </w:p>
        </w:tc>
        <w:tc>
          <w:tcPr>
            <w:tcBorders>
              <w:left w:val="single" w:color="000000" w:sz="4" w:space="0"/>
              <w:top w:val="single" w:color="000000" w:sz="4" w:space="0"/>
              <w:right w:val="single" w:color="000000" w:sz="4" w:space="0"/>
              <w:bottom w:val="single" w:color="000000" w:sz="4" w:space="0"/>
            </w:tcBorders>
            <w:tcW w:w="1077" w:type="dxa"/>
            <w:vAlign w:val="top"/>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w:t>
            </w:r>
            <w:r/>
          </w:p>
        </w:tc>
      </w:tr>
      <w:tr>
        <w:trPr/>
        <w:tc>
          <w:tcPr>
            <w:tcBorders>
              <w:left w:val="single" w:color="000000" w:sz="4" w:space="0"/>
              <w:top w:val="single" w:color="000000" w:sz="4" w:space="0"/>
              <w:right w:val="single" w:color="000000" w:sz="4" w:space="0"/>
              <w:bottom w:val="single" w:color="000000" w:sz="4" w:space="0"/>
            </w:tcBorders>
            <w:tcW w:w="221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Объем инвестиций в основной капитал</w:t>
            </w:r>
            <w:r/>
          </w:p>
        </w:tc>
        <w:tc>
          <w:tcPr>
            <w:tcBorders>
              <w:left w:val="single" w:color="000000" w:sz="4" w:space="0"/>
              <w:top w:val="single" w:color="000000" w:sz="4" w:space="0"/>
              <w:right w:val="single" w:color="000000" w:sz="4" w:space="0"/>
              <w:bottom w:val="single" w:color="000000" w:sz="4" w:space="0"/>
            </w:tcBorders>
            <w:tcW w:w="10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млн руб.</w:t>
            </w:r>
            <w:r/>
          </w:p>
        </w:tc>
        <w:tc>
          <w:tcPr>
            <w:tcBorders>
              <w:left w:val="single" w:color="000000" w:sz="4" w:space="0"/>
              <w:top w:val="single" w:color="000000" w:sz="4" w:space="0"/>
              <w:right w:val="single" w:color="000000" w:sz="4" w:space="0"/>
              <w:bottom w:val="single" w:color="000000" w:sz="4" w:space="0"/>
            </w:tcBorders>
            <w:tcW w:w="127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101716,4</w:t>
            </w:r>
            <w:r/>
          </w:p>
        </w:tc>
        <w:tc>
          <w:tcPr>
            <w:tcBorders>
              <w:left w:val="single" w:color="000000" w:sz="4" w:space="0"/>
              <w:top w:val="single" w:color="000000" w:sz="4" w:space="0"/>
              <w:right w:val="single" w:color="000000" w:sz="4" w:space="0"/>
              <w:bottom w:val="single" w:color="000000" w:sz="4" w:space="0"/>
            </w:tcBorders>
            <w:tcW w:w="1382"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101246,6</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101633,0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103174,1</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107511,7</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112699,3</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120834,9</w:t>
            </w:r>
            <w:r/>
          </w:p>
        </w:tc>
        <w:tc>
          <w:tcPr>
            <w:tcBorders>
              <w:left w:val="single" w:color="000000" w:sz="4" w:space="0"/>
              <w:top w:val="single" w:color="000000" w:sz="4" w:space="0"/>
              <w:right w:val="single" w:color="000000" w:sz="4" w:space="0"/>
              <w:bottom w:val="single" w:color="000000" w:sz="4" w:space="0"/>
            </w:tcBorders>
            <w:tcW w:w="102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131574,7</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143956,8</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157805,4</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173647,8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191628,0</w:t>
            </w:r>
            <w:r/>
          </w:p>
        </w:tc>
      </w:tr>
      <w:tr>
        <w:trPr/>
        <w:tc>
          <w:tcPr>
            <w:tcBorders>
              <w:left w:val="single" w:color="000000" w:sz="4" w:space="0"/>
              <w:top w:val="single" w:color="000000" w:sz="4" w:space="0"/>
              <w:right w:val="single" w:color="000000" w:sz="4" w:space="0"/>
              <w:bottom w:val="single" w:color="000000" w:sz="4" w:space="0"/>
            </w:tcBorders>
            <w:tcW w:w="221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Темп роста инвестиций в основной капитал в сопоставимых ценах</w:t>
            </w:r>
            <w:r/>
          </w:p>
        </w:tc>
        <w:tc>
          <w:tcPr>
            <w:tcBorders>
              <w:left w:val="single" w:color="000000" w:sz="4" w:space="0"/>
              <w:top w:val="single" w:color="000000" w:sz="4" w:space="0"/>
              <w:right w:val="single" w:color="000000" w:sz="4" w:space="0"/>
              <w:bottom w:val="single" w:color="000000" w:sz="4" w:space="0"/>
            </w:tcBorders>
            <w:tcW w:w="10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 к пред. году</w:t>
            </w:r>
            <w:r/>
          </w:p>
        </w:tc>
        <w:tc>
          <w:tcPr>
            <w:tcBorders>
              <w:left w:val="single" w:color="000000" w:sz="4" w:space="0"/>
              <w:top w:val="single" w:color="000000" w:sz="4" w:space="0"/>
              <w:right w:val="single" w:color="000000" w:sz="4" w:space="0"/>
              <w:bottom w:val="single" w:color="000000" w:sz="4" w:space="0"/>
            </w:tcBorders>
            <w:tcW w:w="127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102,3</w:t>
            </w:r>
            <w:r/>
          </w:p>
        </w:tc>
        <w:tc>
          <w:tcPr>
            <w:tcBorders>
              <w:left w:val="single" w:color="000000" w:sz="4" w:space="0"/>
              <w:top w:val="single" w:color="000000" w:sz="4" w:space="0"/>
              <w:right w:val="single" w:color="000000" w:sz="4" w:space="0"/>
              <w:bottom w:val="single" w:color="000000" w:sz="4" w:space="0"/>
            </w:tcBorders>
            <w:tcW w:w="1382"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95,6</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96,8</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97,8</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100,1</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100,6</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102,7</w:t>
            </w:r>
            <w:r/>
          </w:p>
        </w:tc>
        <w:tc>
          <w:tcPr>
            <w:tcBorders>
              <w:left w:val="single" w:color="000000" w:sz="4" w:space="0"/>
              <w:top w:val="single" w:color="000000" w:sz="4" w:space="0"/>
              <w:right w:val="single" w:color="000000" w:sz="4" w:space="0"/>
              <w:bottom w:val="single" w:color="000000" w:sz="4" w:space="0"/>
            </w:tcBorders>
            <w:tcW w:w="102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104,0</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104,3</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104,4</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104,6</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104,8</w:t>
            </w:r>
            <w:r/>
          </w:p>
        </w:tc>
      </w:tr>
      <w:tr>
        <w:trPr/>
        <w:tc>
          <w:tcPr>
            <w:tcBorders>
              <w:left w:val="single" w:color="000000" w:sz="4" w:space="0"/>
              <w:top w:val="single" w:color="000000" w:sz="4" w:space="0"/>
              <w:right w:val="single" w:color="000000" w:sz="4" w:space="0"/>
              <w:bottom w:val="single" w:color="000000" w:sz="4" w:space="0"/>
            </w:tcBorders>
            <w:tcW w:w="221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Инвестиции в основной капитал по источникам финансирования (по крупным и средним предприятиям, в действующих ценах), в том числе:</w:t>
            </w:r>
            <w:r/>
          </w:p>
        </w:tc>
        <w:tc>
          <w:tcPr>
            <w:tcBorders>
              <w:left w:val="single" w:color="000000" w:sz="4" w:space="0"/>
              <w:top w:val="single" w:color="000000" w:sz="4" w:space="0"/>
              <w:right w:val="single" w:color="000000" w:sz="4" w:space="0"/>
              <w:bottom w:val="single" w:color="000000" w:sz="4" w:space="0"/>
            </w:tcBorders>
            <w:tcW w:w="10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млн руб.</w:t>
            </w:r>
            <w:r/>
          </w:p>
        </w:tc>
        <w:tc>
          <w:tcPr>
            <w:tcBorders>
              <w:left w:val="single" w:color="000000" w:sz="4" w:space="0"/>
              <w:top w:val="single" w:color="000000" w:sz="4" w:space="0"/>
              <w:right w:val="single" w:color="000000" w:sz="4" w:space="0"/>
              <w:bottom w:val="single" w:color="000000" w:sz="4" w:space="0"/>
            </w:tcBorders>
            <w:tcW w:w="127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78901,2</w:t>
            </w:r>
            <w:r/>
          </w:p>
        </w:tc>
        <w:tc>
          <w:tcPr>
            <w:tcBorders>
              <w:left w:val="single" w:color="000000" w:sz="4" w:space="0"/>
              <w:top w:val="single" w:color="000000" w:sz="4" w:space="0"/>
              <w:right w:val="single" w:color="000000" w:sz="4" w:space="0"/>
              <w:bottom w:val="single" w:color="000000" w:sz="4" w:space="0"/>
            </w:tcBorders>
            <w:tcW w:w="1382"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78485,7</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78948,0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80391,0</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84272,8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88778,2</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94630,8</w:t>
            </w:r>
            <w:r/>
          </w:p>
        </w:tc>
        <w:tc>
          <w:tcPr>
            <w:tcBorders>
              <w:left w:val="single" w:color="000000" w:sz="4" w:space="0"/>
              <w:top w:val="single" w:color="000000" w:sz="4" w:space="0"/>
              <w:right w:val="single" w:color="000000" w:sz="4" w:space="0"/>
              <w:bottom w:val="single" w:color="000000" w:sz="4" w:space="0"/>
            </w:tcBorders>
            <w:tcW w:w="102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103338,9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113389,0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124654,2</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137430,7</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151950,3</w:t>
            </w:r>
            <w:r/>
          </w:p>
        </w:tc>
      </w:tr>
      <w:tr>
        <w:trPr/>
        <w:tc>
          <w:tcPr>
            <w:tcBorders>
              <w:left w:val="single" w:color="000000" w:sz="4" w:space="0"/>
              <w:top w:val="single" w:color="000000" w:sz="4" w:space="0"/>
              <w:right w:val="single" w:color="000000" w:sz="4" w:space="0"/>
              <w:bottom w:val="single" w:color="000000" w:sz="4" w:space="0"/>
            </w:tcBorders>
            <w:tcW w:w="221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Собственные средства предприятий (в действующих ценах)</w:t>
            </w:r>
            <w:r/>
          </w:p>
        </w:tc>
        <w:tc>
          <w:tcPr>
            <w:tcBorders>
              <w:left w:val="single" w:color="000000" w:sz="4" w:space="0"/>
              <w:top w:val="single" w:color="000000" w:sz="4" w:space="0"/>
              <w:right w:val="single" w:color="000000" w:sz="4" w:space="0"/>
              <w:bottom w:val="single" w:color="000000" w:sz="4" w:space="0"/>
            </w:tcBorders>
            <w:tcW w:w="10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млн руб.</w:t>
            </w:r>
            <w:r/>
          </w:p>
        </w:tc>
        <w:tc>
          <w:tcPr>
            <w:tcBorders>
              <w:left w:val="single" w:color="000000" w:sz="4" w:space="0"/>
              <w:top w:val="single" w:color="000000" w:sz="4" w:space="0"/>
              <w:right w:val="single" w:color="000000" w:sz="4" w:space="0"/>
              <w:bottom w:val="single" w:color="000000" w:sz="4" w:space="0"/>
            </w:tcBorders>
            <w:tcW w:w="127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54858,6</w:t>
            </w:r>
            <w:r/>
          </w:p>
        </w:tc>
        <w:tc>
          <w:tcPr>
            <w:tcBorders>
              <w:left w:val="single" w:color="000000" w:sz="4" w:space="0"/>
              <w:top w:val="single" w:color="000000" w:sz="4" w:space="0"/>
              <w:right w:val="single" w:color="000000" w:sz="4" w:space="0"/>
              <w:bottom w:val="single" w:color="000000" w:sz="4" w:space="0"/>
            </w:tcBorders>
            <w:tcW w:w="1382"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52662,2</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53053,0</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54183,5</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57052,7</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60280,4</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65389,9</w:t>
            </w:r>
            <w:r/>
          </w:p>
        </w:tc>
        <w:tc>
          <w:tcPr>
            <w:tcBorders>
              <w:left w:val="single" w:color="000000" w:sz="4" w:space="0"/>
              <w:top w:val="single" w:color="000000" w:sz="4" w:space="0"/>
              <w:right w:val="single" w:color="000000" w:sz="4" w:space="0"/>
              <w:bottom w:val="single" w:color="000000" w:sz="4" w:space="0"/>
            </w:tcBorders>
            <w:tcW w:w="102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72130,5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79372,3</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87631,9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97301,0</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108188,6</w:t>
            </w:r>
            <w:r/>
          </w:p>
        </w:tc>
      </w:tr>
      <w:tr>
        <w:trPr/>
        <w:tc>
          <w:tcPr>
            <w:tcBorders>
              <w:left w:val="single" w:color="000000" w:sz="4" w:space="0"/>
              <w:top w:val="single" w:color="000000" w:sz="4" w:space="0"/>
              <w:right w:val="single" w:color="000000" w:sz="4" w:space="0"/>
              <w:bottom w:val="single" w:color="000000" w:sz="4" w:space="0"/>
            </w:tcBorders>
            <w:tcW w:w="221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Привлеченные средства (в действующих ценах)</w:t>
            </w:r>
            <w:r/>
          </w:p>
        </w:tc>
        <w:tc>
          <w:tcPr>
            <w:tcBorders>
              <w:left w:val="single" w:color="000000" w:sz="4" w:space="0"/>
              <w:top w:val="single" w:color="000000" w:sz="4" w:space="0"/>
              <w:right w:val="single" w:color="000000" w:sz="4" w:space="0"/>
              <w:bottom w:val="single" w:color="000000" w:sz="4" w:space="0"/>
            </w:tcBorders>
            <w:tcW w:w="10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млн руб.</w:t>
            </w:r>
            <w:r/>
          </w:p>
        </w:tc>
        <w:tc>
          <w:tcPr>
            <w:tcBorders>
              <w:left w:val="single" w:color="000000" w:sz="4" w:space="0"/>
              <w:top w:val="single" w:color="000000" w:sz="4" w:space="0"/>
              <w:right w:val="single" w:color="000000" w:sz="4" w:space="0"/>
              <w:bottom w:val="single" w:color="000000" w:sz="4" w:space="0"/>
            </w:tcBorders>
            <w:tcW w:w="127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24042,6</w:t>
            </w:r>
            <w:r/>
          </w:p>
        </w:tc>
        <w:tc>
          <w:tcPr>
            <w:tcBorders>
              <w:left w:val="single" w:color="000000" w:sz="4" w:space="0"/>
              <w:top w:val="single" w:color="000000" w:sz="4" w:space="0"/>
              <w:right w:val="single" w:color="000000" w:sz="4" w:space="0"/>
              <w:bottom w:val="single" w:color="000000" w:sz="4" w:space="0"/>
            </w:tcBorders>
            <w:tcW w:w="1382"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25823,5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25894,9</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26207,5</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27220,1</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28497,8</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29240,9</w:t>
            </w:r>
            <w:r/>
          </w:p>
        </w:tc>
        <w:tc>
          <w:tcPr>
            <w:tcBorders>
              <w:left w:val="single" w:color="000000" w:sz="4" w:space="0"/>
              <w:top w:val="single" w:color="000000" w:sz="4" w:space="0"/>
              <w:right w:val="single" w:color="000000" w:sz="4" w:space="0"/>
              <w:bottom w:val="single" w:color="000000" w:sz="4" w:space="0"/>
            </w:tcBorders>
            <w:tcW w:w="102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31208,4</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34016,7</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37022,3</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40129,7</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43761,7</w:t>
            </w:r>
            <w:r/>
          </w:p>
        </w:tc>
      </w:tr>
      <w:tr>
        <w:trPr/>
        <w:tc>
          <w:tcPr>
            <w:tcBorders>
              <w:left w:val="single" w:color="000000" w:sz="4" w:space="0"/>
              <w:top w:val="single" w:color="000000" w:sz="4" w:space="0"/>
              <w:right w:val="single" w:color="000000" w:sz="4" w:space="0"/>
              <w:bottom w:val="single" w:color="000000" w:sz="4" w:space="0"/>
            </w:tcBorders>
            <w:tcW w:w="2211" w:type="dxa"/>
            <w:vAlign w:val="top"/>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Бюджетные средства (в действующих ценах)</w:t>
            </w:r>
            <w:r/>
          </w:p>
        </w:tc>
        <w:tc>
          <w:tcPr>
            <w:tcBorders>
              <w:left w:val="single" w:color="000000" w:sz="4" w:space="0"/>
              <w:top w:val="single" w:color="000000" w:sz="4" w:space="0"/>
              <w:right w:val="single" w:color="000000" w:sz="4" w:space="0"/>
              <w:bottom w:val="single" w:color="000000" w:sz="4" w:space="0"/>
            </w:tcBorders>
            <w:tcW w:w="106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млн руб.</w:t>
            </w:r>
            <w:r/>
          </w:p>
        </w:tc>
        <w:tc>
          <w:tcPr>
            <w:tcBorders>
              <w:left w:val="single" w:color="000000" w:sz="4" w:space="0"/>
              <w:top w:val="single" w:color="000000" w:sz="4" w:space="0"/>
              <w:right w:val="single" w:color="000000" w:sz="4" w:space="0"/>
              <w:bottom w:val="single" w:color="000000" w:sz="4" w:space="0"/>
            </w:tcBorders>
            <w:tcW w:w="1276"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7065,7</w:t>
            </w:r>
            <w:r/>
          </w:p>
        </w:tc>
        <w:tc>
          <w:tcPr>
            <w:tcBorders>
              <w:left w:val="single" w:color="000000" w:sz="4" w:space="0"/>
              <w:top w:val="single" w:color="000000" w:sz="4" w:space="0"/>
              <w:right w:val="single" w:color="000000" w:sz="4" w:space="0"/>
              <w:bottom w:val="single" w:color="000000" w:sz="4" w:space="0"/>
            </w:tcBorders>
            <w:tcW w:w="1382"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9743,5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8648,9</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8438,8</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8438,2</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8549,3</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8479,9</w:t>
            </w:r>
            <w:r/>
          </w:p>
        </w:tc>
        <w:tc>
          <w:tcPr>
            <w:tcBorders>
              <w:left w:val="single" w:color="000000" w:sz="4" w:space="0"/>
              <w:top w:val="single" w:color="000000" w:sz="4" w:space="0"/>
              <w:right w:val="single" w:color="000000" w:sz="4" w:space="0"/>
              <w:bottom w:val="single" w:color="000000" w:sz="4" w:space="0"/>
            </w:tcBorders>
            <w:tcW w:w="1029"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8738,3</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9184,5</w:t>
            </w:r>
            <w:r/>
          </w:p>
        </w:tc>
        <w:tc>
          <w:tcPr>
            <w:tcBorders>
              <w:left w:val="single" w:color="000000" w:sz="4" w:space="0"/>
              <w:top w:val="single" w:color="000000" w:sz="4" w:space="0"/>
              <w:right w:val="single" w:color="000000" w:sz="4" w:space="0"/>
              <w:bottom w:val="single" w:color="000000" w:sz="4" w:space="0"/>
            </w:tcBorders>
            <w:tcW w:w="10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9625,8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10032,4</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10940,4</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sectPr>
          <w:footnotePr>
            <w:pos w:val="pageBottom"/>
          </w:footnotePr>
          <w:endnotePr/>
          <w:type w:val="nextPage"/>
          <w:pgSz w:w="16838" w:h="11906" w:orient="landscape"/>
          <w:pgMar w:top="1133" w:right="1440" w:bottom="566" w:left="1440" w:header="0" w:footer="0" w:gutter="0"/>
          <w:cols w:num="1" w:sep="0" w:space="720" w:equalWidth="1"/>
          <w:docGrid w:linePitch="360"/>
        </w:sectPr>
      </w:pPr>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10. СИСТЕМА УПРАВЛЕНИЯ И МОНИТОРИНГА</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РЕАЛИЗАЦИИ СТРАТЕГИИ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Ключевым принципом реализации стратегии является создание системы эффект</w:t>
      </w:r>
      <w:r>
        <w:rPr>
          <w:rFonts w:ascii="Arial" w:hAnsi="Arial" w:cs="Arial" w:eastAsia="Arial"/>
          <w:sz w:val="20"/>
          <w:szCs w:val="20"/>
          <w:lang w:val="ru-RU" w:bidi="ru-RU"/>
        </w:rPr>
        <w:t xml:space="preserve">ивного взаимодействия органов государственной власти регионального и федерального уровня, научного и бизнес-сообщества, а также гражданского общества на основе механизмов "Открытого правительства". Для его реализации будет продолжена политика федеральных и</w:t>
      </w:r>
      <w:r>
        <w:rPr>
          <w:rFonts w:ascii="Arial" w:hAnsi="Arial" w:cs="Arial" w:eastAsia="Arial"/>
          <w:sz w:val="20"/>
          <w:szCs w:val="20"/>
          <w:lang w:val="ru-RU" w:bidi="ru-RU"/>
        </w:rPr>
        <w:t xml:space="preserve"> региональных властей, направленная, в частности, на совершенствование системы государственного управления и повышение качества и уровня предоставляемых населению государственных и муниципальных услуг, создание системы управления на базе цифровых платформ.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На уровне субъекта Стратегия является главным документом</w:t>
      </w:r>
      <w:r>
        <w:rPr>
          <w:rFonts w:ascii="Arial" w:hAnsi="Arial" w:cs="Arial" w:eastAsia="Arial"/>
          <w:sz w:val="20"/>
          <w:szCs w:val="20"/>
          <w:lang w:val="ru-RU" w:bidi="ru-RU"/>
        </w:rPr>
        <w:t xml:space="preserve"> стратегического планирования, в соответствии с которым принимаются другие документы стратегического планирования, определенные федеральным законодательством и законодательством Томской области. Стратегия утверждается Законодательной Думой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свою очередь документы стратегического планирования муниципальных образований Томской области учитывают положения Стратегии.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целях обеспечения гибкости Стратегии и ее соответствия возникающим вызовам социально-экономического развития предусмотрена возможность ее корректировки и актуализации.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Корректировка Стратегии социально-экономического развития Томской области осуществляется в случае необходимости при изменении внешних и внутренних факторов, оказывающих существенное влияние на социально-экономическое развитие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Актуализация Стратегии осуществляется не реже одного раза в 6 лет с целью продления периода действия при изменении внутренних и внешних факторов и необходимости пересмотра параметров Стратегии.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Достижение предусмотренной Стратегией миссии - обеспечение лучшего качества жизни в Сибири за счет реализации модели интенсивного развития обуславливает потребность в совершенствовании системы управления, в том числе цифровой трансформации.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настоящее врем</w:t>
      </w:r>
      <w:r>
        <w:rPr>
          <w:rFonts w:ascii="Arial" w:hAnsi="Arial" w:cs="Arial" w:eastAsia="Arial"/>
          <w:sz w:val="20"/>
          <w:szCs w:val="20"/>
          <w:lang w:val="ru-RU" w:bidi="ru-RU"/>
        </w:rPr>
        <w:t xml:space="preserve">я Томская область является одним из пилотных регионов в Российской Федерации по внедрению проектного управления в деятельность органов государственной власти и органов местного самоуправления. Опыт проектного управления уже применяется для реализации задач</w:t>
      </w:r>
      <w:r>
        <w:rPr>
          <w:rFonts w:ascii="Arial" w:hAnsi="Arial" w:cs="Arial" w:eastAsia="Arial"/>
          <w:sz w:val="20"/>
          <w:szCs w:val="20"/>
          <w:lang w:val="ru-RU" w:bidi="ru-RU"/>
        </w:rPr>
        <w:t xml:space="preserve"> создания инновационного территориального центра ИНО Томск. Расширение данной практики будет способствовать организации более эффективного взаимодействия между всеми участниками процесса стратегического планирования на региональном и муниципальном уровнях.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Вышеуказанная трансформация будет включать развитие существующих и введение новых институтов управления, а также организационных структур, в т.ч. за счет использования передовых федеральных механизмов и инструментов: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Комплексные научно-технологические программы развития и пилотного применения отечественных технологий, снижающих зависимость российских организаций от импортного оборудования, технологий и сервисных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Инновационные научно-технологические центры - технологические долины, привлекательные для регистрации и роста технологических стартапов в сферах новой и передовой энергетики, новых материалов, микроэлектроники, глубокой переработки лесных ресурсов;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ТОСЭР и ОЭЗ;</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Инновационный территориальный центр "ИНО Томск";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Межрегиональные дорожные карты и комплексные программы развития, закрепляющие создание долгосрочных партнерств по подготовке кадров;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Специальные институты развития бизнеса и предпринимательства: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региональные чемпионы. Большие корпорации в стратегических секторах экономики должны не только стремиться к получению при</w:t>
      </w:r>
      <w:r>
        <w:rPr>
          <w:rFonts w:ascii="Arial" w:hAnsi="Arial" w:cs="Arial" w:eastAsia="Arial"/>
          <w:sz w:val="20"/>
          <w:szCs w:val="20"/>
          <w:lang w:val="ru-RU" w:bidi="ru-RU"/>
        </w:rPr>
        <w:t xml:space="preserve">были, но и отстаивать интересы региона, вкладываться в его развитие. Нужно реализовать несколько совместных кооперационных программ по развитию Томской области совместными силами области и бизнеса (консорциумы; развитие механизма совместных Дорожных карт);</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подрастающие чемпионы. Адресная работа со средними компаниями региона, выращивание из них новых чемпионов - эффективных и конкурентоспособных компаний на внутреннем и мировом рынках;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предпринимательские кластеры. Создание инновационной инфраструктуры и системы выращивания бизнесов с нуля;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институт развития города и среды для жизни. Реализация проектов в формате "живая лаборатория".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Кроме того, необходимо проработать механизмы привлечения средств на реализацию стратегических проектов и использование специальных правовых режимов, в т.ч. создание "регулятивных песочниц", п</w:t>
      </w:r>
      <w:r>
        <w:rPr>
          <w:rFonts w:ascii="Arial" w:hAnsi="Arial" w:cs="Arial" w:eastAsia="Arial"/>
          <w:sz w:val="20"/>
          <w:szCs w:val="20"/>
          <w:lang w:val="ru-RU" w:bidi="ru-RU"/>
        </w:rPr>
        <w:t xml:space="preserve">озволяющих участникам применять передовые технологии и внедрять экспериментальные технологические решения без обязательного получения российских лицензий и разрешительных документов и/или предусматривающих получать временные разрешения по упрощенной форме.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Одним из основных инструментов управления Стратегией является План мероприятий по </w:t>
      </w:r>
      <w:r>
        <w:rPr>
          <w:rFonts w:ascii="Arial" w:hAnsi="Arial" w:cs="Arial" w:eastAsia="Arial"/>
          <w:sz w:val="20"/>
          <w:szCs w:val="20"/>
          <w:lang w:val="ru-RU" w:bidi="ru-RU"/>
        </w:rPr>
        <w:t xml:space="preserve">ее реализации. В соответствии с требованиями федерального законодательства План мероприятий содержит комплекс мероприятий, перечень государственных программ Томской области и показателей результативности с указанием сроков и ответственных за их исполнение.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Государственные программы Томской области, ответственными исполнителями по которым выступают органы исполнительной власти Томской области, являются механизмом достижения целей и задач Стратегии. </w:t>
      </w:r>
      <w:hyperlink w:history="1">
        <w:r>
          <w:rPr>
            <w:rFonts w:ascii="Arial" w:hAnsi="Arial" w:cs="Arial" w:eastAsia="Arial"/>
            <w:color w:val="0000FF"/>
            <w:sz w:val="20"/>
            <w:szCs w:val="20"/>
            <w:lang w:val="ru-RU" w:bidi="ru-RU"/>
          </w:rPr>
          <w:t xml:space="preserve">Информация</w:t>
        </w:r>
      </w:hyperlink>
      <w:r>
        <w:rPr>
          <w:rFonts w:ascii="Arial" w:hAnsi="Arial" w:cs="Arial" w:eastAsia="Arial"/>
          <w:sz w:val="20"/>
          <w:szCs w:val="20"/>
          <w:lang w:val="ru-RU" w:bidi="ru-RU"/>
        </w:rPr>
        <w:t xml:space="preserve"> о государственных программах Томской области, утверждаемых в целях реализации Стратегии, представлена в приложении 2.</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Мониторинг реализации Стратегии проводится в рамках ежегодного отчета Губерна</w:t>
      </w:r>
      <w:r>
        <w:rPr>
          <w:rFonts w:ascii="Arial" w:hAnsi="Arial" w:cs="Arial" w:eastAsia="Arial"/>
          <w:sz w:val="20"/>
          <w:szCs w:val="20"/>
          <w:lang w:val="ru-RU" w:bidi="ru-RU"/>
        </w:rPr>
        <w:t xml:space="preserve">тора Томской области о результатах деятельности исполнительных органов государственной власти Томской области. Также в число этих документов входит сводный годовой доклад о ходе реализации и об оценке эффективности государственных программ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Результаты мониторинга реализации Стр</w:t>
      </w:r>
      <w:r>
        <w:rPr>
          <w:rFonts w:ascii="Arial" w:hAnsi="Arial" w:cs="Arial" w:eastAsia="Arial"/>
          <w:sz w:val="20"/>
          <w:szCs w:val="20"/>
          <w:lang w:val="ru-RU" w:bidi="ru-RU"/>
        </w:rPr>
        <w:t xml:space="preserve">атегии социально-экономического развития Томской области подлежат размещению на официальном сайте Администрации Томской области в сети Интернет, за исключением сведений, отнесенных к государственной, коммерческой, служебной и иной охраняемой законом тайне.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обеспечения эффективного исполнения Стратегии согласно плану реализации Стратегии, назначаются участники Стратегии ответственные за достижение долгосрочных целей и реализацию задач социально-экономического развития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За достижение целей Стратегии ответственными назначаются </w:t>
      </w:r>
      <w:r>
        <w:rPr>
          <w:rFonts w:ascii="Arial" w:hAnsi="Arial" w:cs="Arial" w:eastAsia="Arial"/>
          <w:sz w:val="20"/>
          <w:szCs w:val="20"/>
          <w:lang w:val="ru-RU" w:bidi="ru-RU"/>
        </w:rPr>
        <w:t xml:space="preserve">заместители Губернатора Томской области, курирующие отдельные отрасли и блоки. За выполнение задач Стратегии ответственными назначаются участники Стратегии, являющиеся ответственными исполнителями (соисполнителями) государственных программ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Текущие управленческие решения, связанные непосредственно с реализацией Стратегии, принимаются заместителем Губернатора Томской области, курирующим экономический блок и возглавляющим работу по проведению мониторинга реализации Стратегии.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Заместители Губернатора Томской области, отвечающие за достижение целей Стратегии, принимают управленческие решения в процессе реализации Стратегии и по итогам ее мониторинга по отдельным курируемым направлениям.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Органы исполнительной власти Томской области, являющиеся участниками реализации Стратегии, осуществляют взаимодействие с соответствующими федеральными органами исполнительной власти и </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иными участниками реализации Стратегии, мониторинг реализации Стратегии по своим закрепленным направлениям, готовят предложения Департаменту экономики Администрации Томской области по внесению изменений в Стратегию.</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Органы местного самоуправления, являющиеся участниками реализации Стратегии, разрабатывают и </w:t>
      </w:r>
      <w:r>
        <w:rPr>
          <w:rFonts w:ascii="Arial" w:hAnsi="Arial" w:cs="Arial" w:eastAsia="Arial"/>
          <w:sz w:val="20"/>
          <w:szCs w:val="20"/>
          <w:lang w:val="ru-RU" w:bidi="ru-RU"/>
        </w:rPr>
        <w:t xml:space="preserve">реализуют документы стратегического планирования муниципального уровня, в том числе Стратегию социально-экономического развития муниципального образования и План мероприятий по реализации данной Стратегии в рамках достижения приоритетов, целей и задач Стра</w:t>
      </w:r>
      <w:r>
        <w:rPr>
          <w:rFonts w:ascii="Arial" w:hAnsi="Arial" w:cs="Arial" w:eastAsia="Arial"/>
          <w:sz w:val="20"/>
          <w:szCs w:val="20"/>
          <w:lang w:val="ru-RU" w:bidi="ru-RU"/>
        </w:rPr>
        <w:t xml:space="preserve">тегии социально-экономического развития Томской области, осуществляют мониторинг реализации Стратегии по соответствующим муниципальным образованиям, готовят предложения Департаменту экономики Администрации Томской области по внесению изменений в Стратегию.</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Координацию реализации Стратегии осуществляет Департамент экономики Администрации Томской области, который: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взаимодействует с участниками реализации Стратегии;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проводит общий мониторинг реализации Стратегии, в том числе на основании данных от участников реализации Стратегии;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 готовит предложения по корректировке (актуализации) Стратегии и корректировке Плана мероприятий по ее реализации.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Контроль за реализацией Стратегии осуществляет Законодательная Дума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Стратегии предусматривает активное участие населения и экспертного сообщества. Для повышения уровня открытости при реализации Стратегии обеспечи</w:t>
      </w:r>
      <w:r>
        <w:rPr>
          <w:rFonts w:ascii="Arial" w:hAnsi="Arial" w:cs="Arial" w:eastAsia="Arial"/>
          <w:sz w:val="20"/>
          <w:szCs w:val="20"/>
          <w:lang w:val="ru-RU" w:bidi="ru-RU"/>
        </w:rPr>
        <w:t xml:space="preserve">вается раскрытие информации о деятельности участников реализации Стратегии, размещение открытых данных по реализации в сети Интернет, в том числе с возможностью внесения предложений и комментариев онлайн по актуальным вопросам реализации Стратегии в целом.</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outlineLvl w:val="1"/>
      </w:pPr>
      <w:r>
        <w:rPr>
          <w:rFonts w:ascii="Arial" w:hAnsi="Arial" w:cs="Arial" w:eastAsia="Arial"/>
          <w:b/>
          <w:bCs/>
          <w:sz w:val="20"/>
          <w:szCs w:val="20"/>
          <w:lang w:val="ru-RU" w:bidi="ru-RU"/>
        </w:rPr>
        <w:t xml:space="preserve">11. СРОКИ И ЭТАПЫ РЕАЛИЗАЦИИ СТРАТЕГИИ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мероприятий и проектов Стратегии социально-экономического развития Томской области до 2030 года планируется в 2 этапа: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1. 2021 - 2024 гг. - реализация антикризисной программы, переход к восстановительному росту.</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2. 2025 - 2030 гг. - обновление ключевых институтов и портфеля проектов развития.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первого этапа необходимо сконц</w:t>
      </w:r>
      <w:r>
        <w:rPr>
          <w:rFonts w:ascii="Arial" w:hAnsi="Arial" w:cs="Arial" w:eastAsia="Arial"/>
          <w:sz w:val="20"/>
          <w:szCs w:val="20"/>
          <w:lang w:val="ru-RU" w:bidi="ru-RU"/>
        </w:rPr>
        <w:t xml:space="preserve">ентрироваться на создании базы для обеспечения устойчивости региональной экономики и социальной сферы, в частности, на поддержке местных предприятий и населения, переходе к постковидным стандартам организации общественных пространств и деятельности объекто</w:t>
      </w:r>
      <w:r>
        <w:rPr>
          <w:rFonts w:ascii="Arial" w:hAnsi="Arial" w:cs="Arial" w:eastAsia="Arial"/>
          <w:sz w:val="20"/>
          <w:szCs w:val="20"/>
          <w:lang w:val="ru-RU" w:bidi="ru-RU"/>
        </w:rPr>
        <w:t xml:space="preserve">в социальной инфраструктуры. Успешная реализация мероприятий в рамках данного этапа будет обеспечена благодаря деятельности созданной межведомственной комиссии для решения оперативных задач, связанных с восстановлением экономики и социальной сферы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второго этапа необходимо уделить основное внимание реструктуризации ключевых областей экономики и социальной сферы, масштабированию пилотных инициатив и запуску проектов второй очереди. Второй этап предполаг</w:t>
      </w:r>
      <w:r>
        <w:rPr>
          <w:rFonts w:ascii="Arial" w:hAnsi="Arial" w:cs="Arial" w:eastAsia="Arial"/>
          <w:sz w:val="20"/>
          <w:szCs w:val="20"/>
          <w:lang w:val="ru-RU" w:bidi="ru-RU"/>
        </w:rPr>
        <w:t xml:space="preserve">ает подготовку по корректировке действующих и запуску новых государственных программ с учетом результатов реализации вышеуказанных программ (по состоянию на 2024 г.), а также национальных целей до 2030 г. и региональных стратегических приоритетов развития.</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outlineLvl w:val="1"/>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outlineLvl w:val="1"/>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outlineLvl w:val="1"/>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outlineLvl w:val="1"/>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outlineLvl w:val="1"/>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outlineLvl w:val="1"/>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outlineLvl w:val="1"/>
      </w:pPr>
      <w:r>
        <w:rPr>
          <w:rFonts w:ascii="Arial" w:hAnsi="Arial" w:cs="Arial" w:eastAsia="Arial"/>
          <w:sz w:val="20"/>
          <w:szCs w:val="20"/>
          <w:lang w:val="ru-RU" w:bidi="ru-RU"/>
        </w:rPr>
        <w:t xml:space="preserve">Приложение 1</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pPr>
      <w:r/>
      <w:bookmarkStart w:id="4" w:name="Par2873"/>
      <w:r/>
      <w:bookmarkEnd w:id="4"/>
      <w:r>
        <w:rPr>
          <w:rFonts w:ascii="Arial" w:hAnsi="Arial" w:cs="Arial" w:eastAsia="Arial"/>
          <w:b/>
          <w:bCs/>
          <w:sz w:val="20"/>
          <w:szCs w:val="20"/>
          <w:lang w:val="ru-RU" w:bidi="ru-RU"/>
        </w:rPr>
        <w:t xml:space="preserve">ПЕРСПЕКТИВЫ</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РАЗВИТИЯ ОТДЕЛЬНЫХ МУНИЦИПАЛЬНЫХ ОБРАЗОВАНИЙ ТОМСКОЙ ОБЛАСТИ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Томск - современный динамичный многопрофильный деловой и креативный центр Сибири с развитой ин</w:t>
      </w:r>
      <w:r>
        <w:rPr>
          <w:rFonts w:ascii="Arial" w:hAnsi="Arial" w:cs="Arial" w:eastAsia="Arial"/>
          <w:sz w:val="20"/>
          <w:szCs w:val="20"/>
          <w:lang w:val="ru-RU" w:bidi="ru-RU"/>
        </w:rPr>
        <w:t xml:space="preserve">новационно-технологической инфраструктурой. Томск является ядром формирования новой специализации Томской области, обеспечивает качественный экономический рост на основе знаний, создания передовых технологий, реализации национальной образовательной миссии.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 как областной центр Томской области являе</w:t>
      </w:r>
      <w:r>
        <w:rPr>
          <w:rFonts w:ascii="Arial" w:hAnsi="Arial" w:cs="Arial" w:eastAsia="Arial"/>
          <w:sz w:val="20"/>
          <w:szCs w:val="20"/>
          <w:lang w:val="ru-RU" w:bidi="ru-RU"/>
        </w:rPr>
        <w:t xml:space="preserve">тся лидером по ключевым показателям социально-экономического развития, включая численность населения (55,4% от регионального уровня), число работников обрабатывающей промышленности (9,6%), объем отгруженной продукции и выполненных услуг по основным видам д</w:t>
      </w:r>
      <w:r>
        <w:rPr>
          <w:rFonts w:ascii="Arial" w:hAnsi="Arial" w:cs="Arial" w:eastAsia="Arial"/>
          <w:sz w:val="20"/>
          <w:szCs w:val="20"/>
          <w:lang w:val="ru-RU" w:bidi="ru-RU"/>
        </w:rPr>
        <w:t xml:space="preserve">еятельности (48%). Определяющую роль в развитии промышленного потенциала города играют химическое производство (20,4% в структуре промышленного производства), производство электро-, электронного и оптического оборудования (21,0%) и пищевая промышленность (</w:t>
      </w:r>
      <w:r>
        <w:rPr>
          <w:rFonts w:ascii="Arial" w:hAnsi="Arial" w:cs="Arial" w:eastAsia="Arial"/>
          <w:sz w:val="20"/>
          <w:szCs w:val="20"/>
          <w:lang w:val="ru-RU" w:bidi="ru-RU"/>
        </w:rPr>
        <w:t xml:space="preserve">8,8%). Во многом лидерство Томской области в СФО по социально-экономическим показателям, включая показатели, характеризующие уровень и качество жизни населения, определяется прежде всего ведущими позициями, занимаемыми городом Томском среди городов Сибири.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роста своей конкурентоспособности Томск должен радикально повысить уровень как социальной, так и бизнес-инфраструктуры, создать доступную творческую и креативную среду. Ключевым проек</w:t>
      </w:r>
      <w:r>
        <w:rPr>
          <w:rFonts w:ascii="Arial" w:hAnsi="Arial" w:cs="Arial" w:eastAsia="Arial"/>
          <w:sz w:val="20"/>
          <w:szCs w:val="20"/>
          <w:lang w:val="ru-RU" w:bidi="ru-RU"/>
        </w:rPr>
        <w:t xml:space="preserve">том развития научно-технологической, инновационной и образовательной инфраструктуры является создание новых научных и инновационных кварталов, создание современного межуниверситетского кампуса. Кроме того, необходимо сформировать культуру современного горо</w:t>
      </w:r>
      <w:r>
        <w:rPr>
          <w:rFonts w:ascii="Arial" w:hAnsi="Arial" w:cs="Arial" w:eastAsia="Arial"/>
          <w:sz w:val="20"/>
          <w:szCs w:val="20"/>
          <w:lang w:val="ru-RU" w:bidi="ru-RU"/>
        </w:rPr>
        <w:t xml:space="preserve">дского дизайна, недвижимости и потребления по форматам, разнообразию и доступности не уступающим ведущим мировым научным и технологическим городам. В г. Томске необходимо обеспечить размещение офисов/новых проектов глобально и системно значимых отраслей и </w:t>
      </w:r>
      <w:r>
        <w:rPr>
          <w:rFonts w:ascii="Arial" w:hAnsi="Arial" w:cs="Arial" w:eastAsia="Arial"/>
          <w:sz w:val="20"/>
          <w:szCs w:val="20"/>
          <w:lang w:val="ru-RU" w:bidi="ru-RU"/>
        </w:rPr>
        <w:t xml:space="preserve">компаний, в том числе развертывание кадровых и инфраструктурных проектов для ИТ- и цифровых компаний национального уровня. В городе до 2030 года должен появиться мощный район творческих индустрий, оживляющий уникальный облик центра и привлекающий туристов.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Промышленный пояс Томской агломерации (ЗАТО Северск, Томский район) - станет одним из наиболее динамичных территориальных драйверов промышленного роста области, заметным в масштабе Сибири. В рамках развития Томского промышленного пояса</w:t>
      </w:r>
      <w:r>
        <w:rPr>
          <w:rFonts w:ascii="Arial" w:hAnsi="Arial" w:cs="Arial" w:eastAsia="Arial"/>
          <w:sz w:val="20"/>
          <w:szCs w:val="20"/>
          <w:lang w:val="ru-RU" w:bidi="ru-RU"/>
        </w:rPr>
        <w:t xml:space="preserve"> предполагается размещение высокотехнологичных предприятий, создание современных промышленных технопарков в связке с наукоемкими предприятиями г. Томска и г. Северска, а также развитие проектов нового жилищного строительства, расширение аэропортового узла.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ЗАТО Северск - крупный производственный и научно-исследовательский центр ядерного комплекса Российской Федерации, второй город Томской области по численности населения (около 10% от регионального у</w:t>
      </w:r>
      <w:r>
        <w:rPr>
          <w:rFonts w:ascii="Arial" w:hAnsi="Arial" w:cs="Arial" w:eastAsia="Arial"/>
          <w:sz w:val="20"/>
          <w:szCs w:val="20"/>
          <w:lang w:val="ru-RU" w:bidi="ru-RU"/>
        </w:rPr>
        <w:t xml:space="preserve">ровня), по числу работников обрабатывающей промышленности (21,4% от общего числа работников организаций ЗАТО Северск), по объему отгруженной продукции и выполненных услуг по основным видам деятельности (9,5%) и по объему инвестиций (4,2%). Режимные огранич</w:t>
      </w:r>
      <w:r>
        <w:rPr>
          <w:rFonts w:ascii="Arial" w:hAnsi="Arial" w:cs="Arial" w:eastAsia="Arial"/>
          <w:sz w:val="20"/>
          <w:szCs w:val="20"/>
          <w:lang w:val="ru-RU" w:bidi="ru-RU"/>
        </w:rPr>
        <w:t xml:space="preserve">ения ЗАТО Северск, связанные со статусом закрытого административно-территориального образования, оказывающие влияние на закрытость экономического пространства, значительно препятствуют ведению бизнеса на территории муниципального образования, негативно вли</w:t>
      </w:r>
      <w:r>
        <w:rPr>
          <w:rFonts w:ascii="Arial" w:hAnsi="Arial" w:cs="Arial" w:eastAsia="Arial"/>
          <w:sz w:val="20"/>
          <w:szCs w:val="20"/>
          <w:lang w:val="ru-RU" w:bidi="ru-RU"/>
        </w:rPr>
        <w:t xml:space="preserve">яют на демографическую ситуацию, инвестиционную привлекательность и темпы жилищного строительства. В целях создания высокотехнологичных и высокооплачиваемых рабочих мест на территории ЗАТО Северск реализуется проект по созданию опытно-демонстрационного ком</w:t>
      </w:r>
      <w:r>
        <w:rPr>
          <w:rFonts w:ascii="Arial" w:hAnsi="Arial" w:cs="Arial" w:eastAsia="Arial"/>
          <w:sz w:val="20"/>
          <w:szCs w:val="20"/>
          <w:lang w:val="ru-RU" w:bidi="ru-RU"/>
        </w:rPr>
        <w:t xml:space="preserve">плекса "БРЕСТ-ОД-300" (в рамках масштабного межрегионального проекта в атомной энергетике "Прорыв" ГК "Росатом"). В конце 2019 года был подписан договор на 26,3 млрд руб. между ключевым предприятием города, АО "СХК", и АО "Концерн Титан-2" на выполнение ст</w:t>
      </w:r>
      <w:r>
        <w:rPr>
          <w:rFonts w:ascii="Arial" w:hAnsi="Arial" w:cs="Arial" w:eastAsia="Arial"/>
          <w:sz w:val="20"/>
          <w:szCs w:val="20"/>
          <w:lang w:val="ru-RU" w:bidi="ru-RU"/>
        </w:rPr>
        <w:t xml:space="preserve">роительно-монтажных работ по проекту строительства энергоблока с реактором на быстрых нейтронах БРЕСТ-ОД-300 со свинцовым теплоносителем до 2026 года. Благодаря реализации проекта будут созданы временные рабочие места на площадке строительства, а также при</w:t>
      </w:r>
      <w:r>
        <w:rPr>
          <w:rFonts w:ascii="Arial" w:hAnsi="Arial" w:cs="Arial" w:eastAsia="Arial"/>
          <w:sz w:val="20"/>
          <w:szCs w:val="20"/>
          <w:lang w:val="ru-RU" w:bidi="ru-RU"/>
        </w:rPr>
        <w:t xml:space="preserve">влечены молодые специалисты для работы в городе. Для повышения инвестиционной привлекательности в ЗАТО Северск в 2019 году учреждена территория опережающего социально-экономического развития "Северск" (ТОР "Северск") со специализацией в высокотехнологичной</w:t>
      </w:r>
      <w:r>
        <w:rPr>
          <w:rFonts w:ascii="Arial" w:hAnsi="Arial" w:cs="Arial" w:eastAsia="Arial"/>
          <w:sz w:val="20"/>
          <w:szCs w:val="20"/>
          <w:lang w:val="ru-RU" w:bidi="ru-RU"/>
        </w:rPr>
        <w:t xml:space="preserve"> химии, медицинской промышленности, ядерных материалах, машиностроении и ИТ. По состоянию на 31.12.2020 в ТОР "Северск" зарегистрированы 12 резидентов. За 2019 - 2020 годы резидентами создано 215 рабочих мест и инвестировано в проекты более 190 млн рублей.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2020 году начато создание необходимой инфраструктуры для площадок ТОР - выполнение проектно-изыскательских работ и строительство газопровода к трем основным площадкам ТОР "Северск". Несмотря на имеющиеся ог</w:t>
      </w:r>
      <w:r>
        <w:rPr>
          <w:rFonts w:ascii="Arial" w:hAnsi="Arial" w:cs="Arial" w:eastAsia="Arial"/>
          <w:sz w:val="20"/>
          <w:szCs w:val="20"/>
          <w:lang w:val="ru-RU" w:bidi="ru-RU"/>
        </w:rPr>
        <w:t xml:space="preserve">раничения, связанные с особым режимом функционирования ЗАТО, территория ТОР "Северск" является достаточно привлекательной для новых резидентов. В период до 2025 года планируется зарегистрировать не менее 20 резидентов с объемом инвестиций около 10 млрд руб</w:t>
      </w:r>
      <w:r>
        <w:rPr>
          <w:rFonts w:ascii="Arial" w:hAnsi="Arial" w:cs="Arial" w:eastAsia="Arial"/>
          <w:sz w:val="20"/>
          <w:szCs w:val="20"/>
          <w:lang w:val="ru-RU" w:bidi="ru-RU"/>
        </w:rPr>
        <w:t xml:space="preserve">лей. Перспективная территория для развития ТОР "Северск" - часть промышленного парка ЗАТО Северск площадью 2900 га. Ведется активная работа по расширению границ ТОР "Северск" и расширению видов экономической деятельности для новых потенциальных резидентов.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2019 году осуществлялась реализация следующих проектов, которые внесут значимый вклад в развитие экономики города, - строительство модуля</w:t>
      </w:r>
      <w:r>
        <w:rPr>
          <w:rFonts w:ascii="Arial" w:hAnsi="Arial" w:cs="Arial" w:eastAsia="Arial"/>
          <w:sz w:val="20"/>
          <w:szCs w:val="20"/>
          <w:lang w:val="ru-RU" w:bidi="ru-RU"/>
        </w:rPr>
        <w:t xml:space="preserve"> фабрикации и рефабрикации уранплутониевого топлива (АО "СХК"), создание производства пигментного диоксида титана на основе фторидной технологии (ООО "Сибирский титан" - резидент ТОСЭР), создание производства аммиачных удобрений" (ООО "ТомскАзот"). Благопр</w:t>
      </w:r>
      <w:r>
        <w:rPr>
          <w:rFonts w:ascii="Arial" w:hAnsi="Arial" w:cs="Arial" w:eastAsia="Arial"/>
          <w:sz w:val="20"/>
          <w:szCs w:val="20"/>
          <w:lang w:val="ru-RU" w:bidi="ru-RU"/>
        </w:rPr>
        <w:t xml:space="preserve">иятная экологическая и социальная среда являются конкурентными преимуществами ЗАТО Северск. При изменении режима доступа в город существуют риски ухудшения среды, поэтому требуется политика по ограничению инвестиционных проектов, направленная на создание в</w:t>
      </w:r>
      <w:r>
        <w:rPr>
          <w:rFonts w:ascii="Arial" w:hAnsi="Arial" w:cs="Arial" w:eastAsia="Arial"/>
          <w:sz w:val="20"/>
          <w:szCs w:val="20"/>
          <w:lang w:val="ru-RU" w:bidi="ru-RU"/>
        </w:rPr>
        <w:t xml:space="preserve">ысокотехнологичных, но экологически чистых производств, что будет способствовать сохранению (или увеличению) числа высокопроизводительных рабочих мест. К 2030 году ЗАТО Северск для сохранения и преумножения числа высокопроизводительных рабочих мест должен </w:t>
      </w:r>
      <w:r>
        <w:rPr>
          <w:rFonts w:ascii="Arial" w:hAnsi="Arial" w:cs="Arial" w:eastAsia="Arial"/>
          <w:sz w:val="20"/>
          <w:szCs w:val="20"/>
          <w:lang w:val="ru-RU" w:bidi="ru-RU"/>
        </w:rPr>
        <w:t xml:space="preserve">стать центром концентрации высокотехнологичных промышленных предприятий, высокотехнологичных сервисов, а также новых научно-исследовательских организаций, созданных в том числе на основе Северского технологического института при Национальном исследовательс</w:t>
      </w:r>
      <w:r>
        <w:rPr>
          <w:rFonts w:ascii="Arial" w:hAnsi="Arial" w:cs="Arial" w:eastAsia="Arial"/>
          <w:sz w:val="20"/>
          <w:szCs w:val="20"/>
          <w:lang w:val="ru-RU" w:bidi="ru-RU"/>
        </w:rPr>
        <w:t xml:space="preserve">ком ядерном университете "МИФИ". Развитие города будет в значительной мере зависеть от степени интеграции в экономическое и социальное пространство Томской агломерации и создания условий для свободного взаимного перетока трудовых ресурсов, товаров и услуг.</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Томский район, опоясывающий г. Томск и ЗАТО Се</w:t>
      </w:r>
      <w:r>
        <w:rPr>
          <w:rFonts w:ascii="Arial" w:hAnsi="Arial" w:cs="Arial" w:eastAsia="Arial"/>
          <w:sz w:val="20"/>
          <w:szCs w:val="20"/>
          <w:lang w:val="ru-RU" w:bidi="ru-RU"/>
        </w:rPr>
        <w:t xml:space="preserve">верск, является территорией, обеспечивающей производство продукции и услуг с высокой добавленной стоимостью. На территории района развиты отрасли сельского хозяйства, строительства, деревообработки, добычи полезных ископаемых, производства строительных мат</w:t>
      </w:r>
      <w:r>
        <w:rPr>
          <w:rFonts w:ascii="Arial" w:hAnsi="Arial" w:cs="Arial" w:eastAsia="Arial"/>
          <w:sz w:val="20"/>
          <w:szCs w:val="20"/>
          <w:lang w:val="ru-RU" w:bidi="ru-RU"/>
        </w:rPr>
        <w:t xml:space="preserve">ериалов, туризма и рекреации. Прирост численности населения (+7,6% за 2014 - 2019 гг., или 5,4 тыс. человек) Томского района находится на самом высоком уровне среди муниципалитетов региона, опережая областной центр. Район остается территорией активного раз</w:t>
      </w:r>
      <w:r>
        <w:rPr>
          <w:rFonts w:ascii="Arial" w:hAnsi="Arial" w:cs="Arial" w:eastAsia="Arial"/>
          <w:sz w:val="20"/>
          <w:szCs w:val="20"/>
          <w:lang w:val="ru-RU" w:bidi="ru-RU"/>
        </w:rPr>
        <w:t xml:space="preserve">вития жилищного строительства, в том числе малоэтажного. Планируется строительство жилых районов "Южный", "Центральный" и малоэтажного жилого района "Северный". Томский район оказывает большое значение в обеспечении продовольственной безопасности области -</w:t>
      </w:r>
      <w:r>
        <w:rPr>
          <w:rFonts w:ascii="Arial" w:hAnsi="Arial" w:cs="Arial" w:eastAsia="Arial"/>
          <w:sz w:val="20"/>
          <w:szCs w:val="20"/>
          <w:lang w:val="ru-RU" w:bidi="ru-RU"/>
        </w:rPr>
        <w:t xml:space="preserve"> на долю района в 2019 году пришлось 52,8% производства продукции сельского хозяйства области (49,5% в 2013 году). В средне- и долгосрочной перспективе район сохранит свою индустриально-сервисную, аграрную и рекреационную специализацию, связанную с выполне</w:t>
      </w:r>
      <w:r>
        <w:rPr>
          <w:rFonts w:ascii="Arial" w:hAnsi="Arial" w:cs="Arial" w:eastAsia="Arial"/>
          <w:sz w:val="20"/>
          <w:szCs w:val="20"/>
          <w:lang w:val="ru-RU" w:bidi="ru-RU"/>
        </w:rPr>
        <w:t xml:space="preserve">нием роли ближайшего окружения регионального центра, благодаря наличию значительных природных ресурсов. В среднесрочной перспективе дополнительный импульс должны получить агропроекты в молочном животноводстве, свиноводстве, тепличном овощеводстве, садоводс</w:t>
      </w:r>
      <w:r>
        <w:rPr>
          <w:rFonts w:ascii="Arial" w:hAnsi="Arial" w:cs="Arial" w:eastAsia="Arial"/>
          <w:sz w:val="20"/>
          <w:szCs w:val="20"/>
          <w:lang w:val="ru-RU" w:bidi="ru-RU"/>
        </w:rPr>
        <w:t xml:space="preserve">тве, рыбоводстве (аквакультура). Планируется реконструкция молочной фермы на 1850 голов в с. Турунтаево, реконструкция молочного комплекса на 1100 голов крупного рогатого скота, организация производства товарного зерна и кормов для животноводческих ферм. П</w:t>
      </w:r>
      <w:r>
        <w:rPr>
          <w:rFonts w:ascii="Arial" w:hAnsi="Arial" w:cs="Arial" w:eastAsia="Arial"/>
          <w:sz w:val="20"/>
          <w:szCs w:val="20"/>
          <w:lang w:val="ru-RU" w:bidi="ru-RU"/>
        </w:rPr>
        <w:t xml:space="preserve">редусматривается реконструкция существующего опытно-промышленного производства АО "ТГОК "Ильменит" с целью наращивания производственных мощностей до 575 тыс. тонн переработки исходного сырья в год с выходом на проектную мощность в 2022 году. Благодаря рост</w:t>
      </w:r>
      <w:r>
        <w:rPr>
          <w:rFonts w:ascii="Arial" w:hAnsi="Arial" w:cs="Arial" w:eastAsia="Arial"/>
          <w:sz w:val="20"/>
          <w:szCs w:val="20"/>
          <w:lang w:val="ru-RU" w:bidi="ru-RU"/>
        </w:rPr>
        <w:t xml:space="preserve">у Томской агломерации и кардинальному изменению ее транспортно-географического положения (на пересечении потоков между Южной Сибирью и Арктикой) предполагается активное развитие в районе транспортно-логистических комплексов. Значимую роль в развитии района</w:t>
      </w:r>
      <w:r>
        <w:rPr>
          <w:rFonts w:ascii="Arial" w:hAnsi="Arial" w:cs="Arial" w:eastAsia="Arial"/>
          <w:sz w:val="20"/>
          <w:szCs w:val="20"/>
          <w:lang w:val="ru-RU" w:bidi="ru-RU"/>
        </w:rPr>
        <w:t xml:space="preserve"> продолжит играть рекреационное направление, связанное с отдыхом жителей Города Томска и ЗАТО Северск, а также притоком туристов из других регионов России благодаря развитию сельского экотуризма и созданию экодеревень, а также других видов деятельности в р</w:t>
      </w:r>
      <w:r>
        <w:rPr>
          <w:rFonts w:ascii="Arial" w:hAnsi="Arial" w:cs="Arial" w:eastAsia="Arial"/>
          <w:sz w:val="20"/>
          <w:szCs w:val="20"/>
          <w:lang w:val="ru-RU" w:bidi="ru-RU"/>
        </w:rPr>
        <w:t xml:space="preserve">амках неистощимого природопользования. Планируются к реализации проекты создания центра семейного отдыха на территории Мирненского сельского поселения, туркомплекса "Вершинино", включающего досуговый центр, многофункциональный спортивно-рекреационный компл</w:t>
      </w:r>
      <w:r>
        <w:rPr>
          <w:rFonts w:ascii="Arial" w:hAnsi="Arial" w:cs="Arial" w:eastAsia="Arial"/>
          <w:sz w:val="20"/>
          <w:szCs w:val="20"/>
          <w:lang w:val="ru-RU" w:bidi="ru-RU"/>
        </w:rPr>
        <w:t xml:space="preserve">екс с горнолыжной базой и другой туристской инфраструктурой, обустройства территории памятника природы регионального значения "Таловские чаши", а также обустройство объектов для отдыха и туризма выходного дня на территориях Межениновского и Калтайского сел</w:t>
      </w:r>
      <w:r>
        <w:rPr>
          <w:rFonts w:ascii="Arial" w:hAnsi="Arial" w:cs="Arial" w:eastAsia="Arial"/>
          <w:sz w:val="20"/>
          <w:szCs w:val="20"/>
          <w:lang w:val="ru-RU" w:bidi="ru-RU"/>
        </w:rPr>
        <w:t xml:space="preserve">ьских поселений. В Томском районе также будут создаваться новые перерабатывающие производства: объекты электроэнергетики, деревообрабатывающие предприятия, нефтехимические производства, горно-обогатительный комбинат, мясоперерабатывающие заводы и другие. Н</w:t>
      </w:r>
      <w:r>
        <w:rPr>
          <w:rFonts w:ascii="Arial" w:hAnsi="Arial" w:cs="Arial" w:eastAsia="Arial"/>
          <w:sz w:val="20"/>
          <w:szCs w:val="20"/>
          <w:lang w:val="ru-RU" w:bidi="ru-RU"/>
        </w:rPr>
        <w:t xml:space="preserve">о в то же время существенным ограничением в устойчивом развитии района будет увеличение нагрузки на окружающую среду и формирование неблагополучной экологической обстановки, что требует пристального внимания органов власти всех уровней управления регионом.</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Южный промышленный узел с центром в г. Асино (Асиновский, Тегульдетский, Верхнекетский, Зырянский, Первомайский, Молчановский, Шегарский районы) - выгодное географическое положение, развит</w:t>
      </w:r>
      <w:r>
        <w:rPr>
          <w:rFonts w:ascii="Arial" w:hAnsi="Arial" w:cs="Arial" w:eastAsia="Arial"/>
          <w:sz w:val="20"/>
          <w:szCs w:val="20"/>
          <w:lang w:val="ru-RU" w:bidi="ru-RU"/>
        </w:rPr>
        <w:t xml:space="preserve">ая инфраструктура и система логистики позволяют создать мощный территориально-производственный комплекс с центром в г. Асино со специализацией в сфере деревообработки, деревянного домостроения, производства продуктов питания, продуктов на основе дикоросов.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Асиновский район развивается как территория с лесопромышленной и сельскохозяйственной экономической специализацией. Район расположен вблизи Томской агломерации (город Асино находится в 100 км</w:t>
      </w:r>
      <w:r>
        <w:rPr>
          <w:rFonts w:ascii="Arial" w:hAnsi="Arial" w:cs="Arial" w:eastAsia="Arial"/>
          <w:sz w:val="20"/>
          <w:szCs w:val="20"/>
          <w:lang w:val="ru-RU" w:bidi="ru-RU"/>
        </w:rPr>
        <w:t xml:space="preserve"> от города Томска) и имеет развитую систему транспортного сообщения с восточными районами области. Численность населения Асиновского района стабильно сокращается, в 2019 г. составила 33,4 тыс. чел. (-5,6%, или -2 тыс. чел. к 2014 г.). Основной причиной сни</w:t>
      </w:r>
      <w:r>
        <w:rPr>
          <w:rFonts w:ascii="Arial" w:hAnsi="Arial" w:cs="Arial" w:eastAsia="Arial"/>
          <w:sz w:val="20"/>
          <w:szCs w:val="20"/>
          <w:lang w:val="ru-RU" w:bidi="ru-RU"/>
        </w:rPr>
        <w:t xml:space="preserve">жения численности населения района является естественная убыль. На территории района действует контейнерная площадка для отправки большегрузных контейнеров по железной дороге. Ведется строительство газопровода-отвода и газораспределительной станции в г. Ас</w:t>
      </w:r>
      <w:r>
        <w:rPr>
          <w:rFonts w:ascii="Arial" w:hAnsi="Arial" w:cs="Arial" w:eastAsia="Arial"/>
          <w:sz w:val="20"/>
          <w:szCs w:val="20"/>
          <w:lang w:val="ru-RU" w:bidi="ru-RU"/>
        </w:rPr>
        <w:t xml:space="preserve">ино, что в перспективе позволит газифицировать поселения в юго-восточной части области. В Асиновском районе сконцентрированы как природные достопримечательности, так и объекты социально-культурного назначения и агротуризма, интересные для посещения туриста</w:t>
      </w:r>
      <w:r>
        <w:rPr>
          <w:rFonts w:ascii="Arial" w:hAnsi="Arial" w:cs="Arial" w:eastAsia="Arial"/>
          <w:sz w:val="20"/>
          <w:szCs w:val="20"/>
          <w:lang w:val="ru-RU" w:bidi="ru-RU"/>
        </w:rPr>
        <w:t xml:space="preserve">ми. В долгосрочной перспективе г. Асино должен стать центром формирования и развития лесопромышленного комплекса в юго-восточной части региона. На территории района реализуется инвестиционный проект "Создание индустриального лесопромышленного парка". Асино</w:t>
      </w:r>
      <w:r>
        <w:rPr>
          <w:rFonts w:ascii="Arial" w:hAnsi="Arial" w:cs="Arial" w:eastAsia="Arial"/>
          <w:sz w:val="20"/>
          <w:szCs w:val="20"/>
          <w:lang w:val="ru-RU" w:bidi="ru-RU"/>
        </w:rPr>
        <w:t xml:space="preserve">вский лесопромышленный парк является частным индустриальным парком размером в 305 га, занесенным в реестр промышленных (индустриальных) парков Томской области. Город Асино станет центром переработки древесины на базе первичных ресурсов Первомайского, Зырян</w:t>
      </w:r>
      <w:r>
        <w:rPr>
          <w:rFonts w:ascii="Arial" w:hAnsi="Arial" w:cs="Arial" w:eastAsia="Arial"/>
          <w:sz w:val="20"/>
          <w:szCs w:val="20"/>
          <w:lang w:val="ru-RU" w:bidi="ru-RU"/>
        </w:rPr>
        <w:t xml:space="preserve">ского и Тегульдетского районов. При этом по мере развития необходимо создавать производства по переработке древесных отходов в такую продукцию, как пеллеты, брикеты, древесный уголь увеличивать сушильные мощности, а также развивать лесохимию. Перспективным</w:t>
      </w:r>
      <w:r>
        <w:rPr>
          <w:rFonts w:ascii="Arial" w:hAnsi="Arial" w:cs="Arial" w:eastAsia="Arial"/>
          <w:sz w:val="20"/>
          <w:szCs w:val="20"/>
          <w:lang w:val="ru-RU" w:bidi="ru-RU"/>
        </w:rPr>
        <w:t xml:space="preserve"> направлением является дальнейшее расширение производства берестяных изделий, в том числе и за счет производства эксклюзивной продукции представительского класса. Наличие земель сельскохозяйственного назначения позволит также сформировать крупный центр сел</w:t>
      </w:r>
      <w:r>
        <w:rPr>
          <w:rFonts w:ascii="Arial" w:hAnsi="Arial" w:cs="Arial" w:eastAsia="Arial"/>
          <w:sz w:val="20"/>
          <w:szCs w:val="20"/>
          <w:lang w:val="ru-RU" w:bidi="ru-RU"/>
        </w:rPr>
        <w:t xml:space="preserve">ьскохозяйственного производства, отраслями специализации которого могут стать производство молочной продукции, а также комбикормовая промышленность при соответствующем развитии животноводства в юго-западной и центральной частях Томской области. В районе ес</w:t>
      </w:r>
      <w:r>
        <w:rPr>
          <w:rFonts w:ascii="Arial" w:hAnsi="Arial" w:cs="Arial" w:eastAsia="Arial"/>
          <w:sz w:val="20"/>
          <w:szCs w:val="20"/>
          <w:lang w:val="ru-RU" w:bidi="ru-RU"/>
        </w:rPr>
        <w:t xml:space="preserve">ть предпосылки для развития мясного животноводства, производства льна. Кроме того, перспективным направлением для района остается создание производств строительных материалов, в том числе использующих полезные ископаемые строительного направления в районе.</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Тегульдетский район, расположенный в восточной части Томской области, характеризуется благоприятной экологической обстановкой и высокой лесистостью территории. В 2019 году численность населения Тегульдетского р</w:t>
      </w:r>
      <w:r>
        <w:rPr>
          <w:rFonts w:ascii="Arial" w:hAnsi="Arial" w:cs="Arial" w:eastAsia="Arial"/>
          <w:sz w:val="20"/>
          <w:szCs w:val="20"/>
          <w:lang w:val="ru-RU" w:bidi="ru-RU"/>
        </w:rPr>
        <w:t xml:space="preserve">айона составила 6,0 тыс. чел., что на 4,8%, или 0,3 тыс. чел., ниже, чем в 2014 году. При этом темпы снижения численности населения Тегульдетского района ниже прогнозных значений. В районе отсутствуют существенные запасы минеральных ресурсов. Полезные иско</w:t>
      </w:r>
      <w:r>
        <w:rPr>
          <w:rFonts w:ascii="Arial" w:hAnsi="Arial" w:cs="Arial" w:eastAsia="Arial"/>
          <w:sz w:val="20"/>
          <w:szCs w:val="20"/>
          <w:lang w:val="ru-RU" w:bidi="ru-RU"/>
        </w:rPr>
        <w:t xml:space="preserve">паемые представлены преимущественно строительными материалами (гравийно-песчаные смеси, песчаник и глины, пригодные для изготовления кирпича и бетонных конструкций). В районе выявлено одно торфяное месторождение "Лучай" в составе пяти участков общей площад</w:t>
      </w:r>
      <w:r>
        <w:rPr>
          <w:rFonts w:ascii="Arial" w:hAnsi="Arial" w:cs="Arial" w:eastAsia="Arial"/>
          <w:sz w:val="20"/>
          <w:szCs w:val="20"/>
          <w:lang w:val="ru-RU" w:bidi="ru-RU"/>
        </w:rPr>
        <w:t xml:space="preserve">ью 8,8 тыс. га (в границах промышленной глубины залежи) и запасами 32,8 млн т. Лесопромышленный комплекс Тегульдетского района будет развиваться в части модернизации и увеличения заготовки древесины современным лесозаготовительным оборудованием. Территория</w:t>
      </w:r>
      <w:r>
        <w:rPr>
          <w:rFonts w:ascii="Arial" w:hAnsi="Arial" w:cs="Arial" w:eastAsia="Arial"/>
          <w:sz w:val="20"/>
          <w:szCs w:val="20"/>
          <w:lang w:val="ru-RU" w:bidi="ru-RU"/>
        </w:rPr>
        <w:t xml:space="preserve"> Тегульдетского района представляет собой природную зону с обширными территориями леса и заповедниками, которые дают большие возможности для развития экотуризма на территории района. Перспективы развития района также связаны со сферой неистощимого природоп</w:t>
      </w:r>
      <w:r>
        <w:rPr>
          <w:rFonts w:ascii="Arial" w:hAnsi="Arial" w:cs="Arial" w:eastAsia="Arial"/>
          <w:sz w:val="20"/>
          <w:szCs w:val="20"/>
          <w:lang w:val="ru-RU" w:bidi="ru-RU"/>
        </w:rPr>
        <w:t xml:space="preserve">ользования, включающей заготовку ягод, грибов, трав; охоту, рыбалку; производство минеральной воды; изготовлением лекарственных препаратов и экологической продукции; развитием экодеревень; туризмом и рекреацией. В Тегульдетском районе будет осуществлена ре</w:t>
      </w:r>
      <w:r>
        <w:rPr>
          <w:rFonts w:ascii="Arial" w:hAnsi="Arial" w:cs="Arial" w:eastAsia="Arial"/>
          <w:sz w:val="20"/>
          <w:szCs w:val="20"/>
          <w:lang w:val="ru-RU" w:bidi="ru-RU"/>
        </w:rPr>
        <w:t xml:space="preserve">конструкция участка автодороги Больше-Дорохово - Тегульдет и строительство межрегиональной автодороги Больше-Дорохово - Тегульдет - Поваренкино (Красноярский край), а также строительство автомобильной дороги с гравийным покрытием Березовка - Красная Горка.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Верхнекетский район. Ключевыми отраслями специализации являются лесозаготовка, а также туризм и рекреационная деятельность. За период с 2014</w:t>
      </w:r>
      <w:r>
        <w:rPr>
          <w:rFonts w:ascii="Arial" w:hAnsi="Arial" w:cs="Arial" w:eastAsia="Arial"/>
          <w:sz w:val="20"/>
          <w:szCs w:val="20"/>
          <w:lang w:val="ru-RU" w:bidi="ru-RU"/>
        </w:rPr>
        <w:t xml:space="preserve"> - 2019 гг. численность населения района сократилась на 2,5%. Сокращение численности населения происходит без опережения прогнозных значений и в основном за счет миграционного оттока населения. В целях повышения транспортной доступности населенных пунктов </w:t>
      </w:r>
      <w:r>
        <w:rPr>
          <w:rFonts w:ascii="Arial" w:hAnsi="Arial" w:cs="Arial" w:eastAsia="Arial"/>
          <w:sz w:val="20"/>
          <w:szCs w:val="20"/>
          <w:lang w:val="ru-RU" w:bidi="ru-RU"/>
        </w:rPr>
        <w:t xml:space="preserve">района и увеличения его инвестиционной привлекательности в 2014 - 2018 гг. были проведены ремонтные работы на автомобильной дороге "Первомайское - Белый Яр". В 2015 году введен в эксплуатацию мостовой переход через реку Чачамга на автомобильной дороге Белы</w:t>
      </w:r>
      <w:r>
        <w:rPr>
          <w:rFonts w:ascii="Arial" w:hAnsi="Arial" w:cs="Arial" w:eastAsia="Arial"/>
          <w:sz w:val="20"/>
          <w:szCs w:val="20"/>
          <w:lang w:val="ru-RU" w:bidi="ru-RU"/>
        </w:rPr>
        <w:t xml:space="preserve">й Яр - Степановка, который позволил связать села Степановку и Катайгу с районным центром Белый Яр. Специализация района будет связана с дальнейшим развитием лесопромышленного комплекса, в первую очередь в части увеличения глубины переработки древесины и пе</w:t>
      </w:r>
      <w:r>
        <w:rPr>
          <w:rFonts w:ascii="Arial" w:hAnsi="Arial" w:cs="Arial" w:eastAsia="Arial"/>
          <w:sz w:val="20"/>
          <w:szCs w:val="20"/>
          <w:lang w:val="ru-RU" w:bidi="ru-RU"/>
        </w:rPr>
        <w:t xml:space="preserve">реработки древесных отходов, а также обеспечения лесопромышленных предприятий региона древесным сырьем. В районе планируется освоение месторождения строительных материалов, прежде всего месторождения кирпичных глин, а также строительного грунта и торфа. Ге</w:t>
      </w:r>
      <w:r>
        <w:rPr>
          <w:rFonts w:ascii="Arial" w:hAnsi="Arial" w:cs="Arial" w:eastAsia="Arial"/>
          <w:sz w:val="20"/>
          <w:szCs w:val="20"/>
          <w:lang w:val="ru-RU" w:bidi="ru-RU"/>
        </w:rPr>
        <w:t xml:space="preserve">ологоразведочные изыскания и исследования с привлечением возможностей космической и сейсморазведок указывают на признаки наличия в недрах района углеводородного сырья, в частности месторождений нефти. В долгосрочной перспективе в районе будут осуществлятьс</w:t>
      </w:r>
      <w:r>
        <w:rPr>
          <w:rFonts w:ascii="Arial" w:hAnsi="Arial" w:cs="Arial" w:eastAsia="Arial"/>
          <w:sz w:val="20"/>
          <w:szCs w:val="20"/>
          <w:lang w:val="ru-RU" w:bidi="ru-RU"/>
        </w:rPr>
        <w:t xml:space="preserve">я геологоразведочные работы, а по оптимистическому сценарию к 2030 году может начаться освоение ресурсов углеводородного сырья на правобережье р. Оби. Перспективным направлением диверсификации экономики района благодаря наличию уникальных ресурсов является</w:t>
      </w:r>
      <w:r>
        <w:rPr>
          <w:rFonts w:ascii="Arial" w:hAnsi="Arial" w:cs="Arial" w:eastAsia="Arial"/>
          <w:sz w:val="20"/>
          <w:szCs w:val="20"/>
          <w:lang w:val="ru-RU" w:bidi="ru-RU"/>
        </w:rPr>
        <w:t xml:space="preserve"> рекреационная деятельность Кеть-Касского комплексного природного заказника и Обь-Енисейского канала. Среди перспективных проектов развития рекреационной деятельности - создание санаторно-курортной зоны и строительство краеведческого музея в р.п. Белый Яр.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Зырянский район. Основной экономической специализацией района является сельское хозяй</w:t>
      </w:r>
      <w:r>
        <w:rPr>
          <w:rFonts w:ascii="Arial" w:hAnsi="Arial" w:cs="Arial" w:eastAsia="Arial"/>
          <w:sz w:val="20"/>
          <w:szCs w:val="20"/>
          <w:lang w:val="ru-RU" w:bidi="ru-RU"/>
        </w:rPr>
        <w:t xml:space="preserve">ство и лесная промышленность. Численность населения Зырянского района за период 2014 - 2019 гг. снизилась на 4,2% (-0,5 тыс. чел.). Снижение численности населения обусловлено близостью к Томской агломерации, более привлекательной для жизни с точки зрения т</w:t>
      </w:r>
      <w:r>
        <w:rPr>
          <w:rFonts w:ascii="Arial" w:hAnsi="Arial" w:cs="Arial" w:eastAsia="Arial"/>
          <w:sz w:val="20"/>
          <w:szCs w:val="20"/>
          <w:lang w:val="ru-RU" w:bidi="ru-RU"/>
        </w:rPr>
        <w:t xml:space="preserve">рудоустройства и социокультурной сферы. Зырянский район сохранит свою сельскохозяйственную специализацию на производстве мяса и молока, выращивании зерновых культур. Район обладает большим потенциалом развития сельского хозяйства и располагает 107 тыс. га </w:t>
      </w:r>
      <w:r>
        <w:rPr>
          <w:rFonts w:ascii="Arial" w:hAnsi="Arial" w:cs="Arial" w:eastAsia="Arial"/>
          <w:sz w:val="20"/>
          <w:szCs w:val="20"/>
          <w:lang w:val="ru-RU" w:bidi="ru-RU"/>
        </w:rPr>
        <w:t xml:space="preserve">сельскохозяйственных угодий, что составляет 27% от общей площади района, в том числе 65 тыс. га пашни. Развитие сельского хозяйства не может в достаточной степени воспрепятствовать оттоку населения из района, т.к. новые сельскохозяйственные предприятия буд</w:t>
      </w:r>
      <w:r>
        <w:rPr>
          <w:rFonts w:ascii="Arial" w:hAnsi="Arial" w:cs="Arial" w:eastAsia="Arial"/>
          <w:sz w:val="20"/>
          <w:szCs w:val="20"/>
          <w:lang w:val="ru-RU" w:bidi="ru-RU"/>
        </w:rPr>
        <w:t xml:space="preserve">ут обладать высокой степенью автоматизации производства. Перспективным является добыча общераспространенных полезных ископаемых, заготовка дикорастущего сырья, развитие рыбохозяйственного и рекреационного направлений, деревообработка и производство фанеры.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Первомайский район. Основными отраслями экономической специализации района является лесная промышленность и сельское хозяйство. Численность насе</w:t>
      </w:r>
      <w:r>
        <w:rPr>
          <w:rFonts w:ascii="Arial" w:hAnsi="Arial" w:cs="Arial" w:eastAsia="Arial"/>
          <w:sz w:val="20"/>
          <w:szCs w:val="20"/>
          <w:lang w:val="ru-RU" w:bidi="ru-RU"/>
        </w:rPr>
        <w:t xml:space="preserve">ления Первомайского района снизилась в 2014 - 2019 гг. на 1,2 тыс. чел. и составила в 2019 году 16,5 тыс. чел. (-6,8% к 2014 году). В структуре занятости района наибольшую долю занимают сельское хозяйство (31,9%), образование (28,6%), здравоохранение и соц</w:t>
      </w:r>
      <w:r>
        <w:rPr>
          <w:rFonts w:ascii="Arial" w:hAnsi="Arial" w:cs="Arial" w:eastAsia="Arial"/>
          <w:sz w:val="20"/>
          <w:szCs w:val="20"/>
          <w:lang w:val="ru-RU" w:bidi="ru-RU"/>
        </w:rPr>
        <w:t xml:space="preserve">иальные услуги (16,7%), государственное управление (12,7%). Помимо сельского хозяйства и лесной промышленности в районе возможна специализация на заготовке ягод, грибов, трав; охоте, рыбалке; неинтенсивном сельском хозяйстве; изготовлении лекарственных пре</w:t>
      </w:r>
      <w:r>
        <w:rPr>
          <w:rFonts w:ascii="Arial" w:hAnsi="Arial" w:cs="Arial" w:eastAsia="Arial"/>
          <w:sz w:val="20"/>
          <w:szCs w:val="20"/>
          <w:lang w:val="ru-RU" w:bidi="ru-RU"/>
        </w:rPr>
        <w:t xml:space="preserve">паратов и экологической продукции. В районе развивается этнотуризм - в 2018 году Министерством культуры Российской Федерации этнокультурный комплекс "Янов хутор" был признан одним из лучших в стране. Лесопромышленный комплекс Первомайского района будет раз</w:t>
      </w:r>
      <w:r>
        <w:rPr>
          <w:rFonts w:ascii="Arial" w:hAnsi="Arial" w:cs="Arial" w:eastAsia="Arial"/>
          <w:sz w:val="20"/>
          <w:szCs w:val="20"/>
          <w:lang w:val="ru-RU" w:bidi="ru-RU"/>
        </w:rPr>
        <w:t xml:space="preserve">виваться в части модернизации действующих производств, а также увеличении переработки древесных отходов в товарную продукцию в виде древесных и древесноугольных брикетов. Для района характерно развитие мясного животноводства и неинтенсивного растениеводств</w:t>
      </w:r>
      <w:r>
        <w:rPr>
          <w:rFonts w:ascii="Arial" w:hAnsi="Arial" w:cs="Arial" w:eastAsia="Arial"/>
          <w:sz w:val="20"/>
          <w:szCs w:val="20"/>
          <w:lang w:val="ru-RU" w:bidi="ru-RU"/>
        </w:rPr>
        <w:t xml:space="preserve">а, включая выращивание кормов, органическое сельское хозяйство. Среди перспективных проектов: производство молочной продукции ПСПК "Куендатский" и СПСК "Крестьянский", производство мясной продукции из мраморной говядины СПОК "Держава". Перспективы развития</w:t>
      </w:r>
      <w:r>
        <w:rPr>
          <w:rFonts w:ascii="Arial" w:hAnsi="Arial" w:cs="Arial" w:eastAsia="Arial"/>
          <w:sz w:val="20"/>
          <w:szCs w:val="20"/>
          <w:lang w:val="ru-RU" w:bidi="ru-RU"/>
        </w:rPr>
        <w:t xml:space="preserve">, исходя из благоприятной экологической обстановки и высокой лесистости, связаны с развитием деятельности в сфере неистощимого природопользования, включающей заготовку ягод, грибов, трав; охоту, рыбалку. Перспективно изготовление лекарственных препаратов и</w:t>
      </w:r>
      <w:r>
        <w:rPr>
          <w:rFonts w:ascii="Arial" w:hAnsi="Arial" w:cs="Arial" w:eastAsia="Arial"/>
          <w:sz w:val="20"/>
          <w:szCs w:val="20"/>
          <w:lang w:val="ru-RU" w:bidi="ru-RU"/>
        </w:rPr>
        <w:t xml:space="preserve"> экологической продукции, развитие экодеревень, туризма и рекреации. Инвестиционные проекты, связанные со строительством детского лагеря, туристско-рекреационного комплекса, санаторно-курортной зоны, окажут положительное действие на социально-экономическое</w:t>
      </w:r>
      <w:r>
        <w:rPr>
          <w:rFonts w:ascii="Arial" w:hAnsi="Arial" w:cs="Arial" w:eastAsia="Arial"/>
          <w:sz w:val="20"/>
          <w:szCs w:val="20"/>
          <w:lang w:val="ru-RU" w:bidi="ru-RU"/>
        </w:rPr>
        <w:t xml:space="preserve"> развитие территории. Развитие Первомайского района будет определяться газификацией района, повышением эффективности транспортной системы, ростом его транзитного потенциала за счет строительства и реконструкции автомобильной дороги Первомайское - Белый Яр.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Молчановский район - это территория, располагающаяся в центральной части региона вдоль автотрассы "Томск - Колпашево" и специализиру</w:t>
      </w:r>
      <w:r>
        <w:rPr>
          <w:rFonts w:ascii="Arial" w:hAnsi="Arial" w:cs="Arial" w:eastAsia="Arial"/>
          <w:sz w:val="20"/>
          <w:szCs w:val="20"/>
          <w:lang w:val="ru-RU" w:bidi="ru-RU"/>
        </w:rPr>
        <w:t xml:space="preserve">ющаяся на предоставлении нефтегазосервисов и обработке сельскохозяйственного сырья. Численность постоянного населения Молчановского района за период 2014 - 2019 гг. сократилась на 4,7% и по состоянию на конец 2019 года составила 12,1 тыс. человек. Населени</w:t>
      </w:r>
      <w:r>
        <w:rPr>
          <w:rFonts w:ascii="Arial" w:hAnsi="Arial" w:cs="Arial" w:eastAsia="Arial"/>
          <w:sz w:val="20"/>
          <w:szCs w:val="20"/>
          <w:lang w:val="ru-RU" w:bidi="ru-RU"/>
        </w:rPr>
        <w:t xml:space="preserve">е сокращалось более быстрыми темпами, чем установлено прогнозом за счет естественного и миграционного оттока. Молчановский район в перспективе сохранит функции, связанные с обслуживанием газораспределительной и нефтеперекачивающей станции в селе Молчаново </w:t>
      </w:r>
      <w:r>
        <w:rPr>
          <w:rFonts w:ascii="Arial" w:hAnsi="Arial" w:cs="Arial" w:eastAsia="Arial"/>
          <w:sz w:val="20"/>
          <w:szCs w:val="20"/>
          <w:lang w:val="ru-RU" w:bidi="ru-RU"/>
        </w:rPr>
        <w:t xml:space="preserve">на магистральных трубопроводах; расширит деятельность в сфере неистощимого природопользования: рыболовство, сбор дикоросов, грибов и организация сбора и переработки лекарственного растительного сырья, а также развития мясо-молочного животноводства для обес</w:t>
      </w:r>
      <w:r>
        <w:rPr>
          <w:rFonts w:ascii="Arial" w:hAnsi="Arial" w:cs="Arial" w:eastAsia="Arial"/>
          <w:sz w:val="20"/>
          <w:szCs w:val="20"/>
          <w:lang w:val="ru-RU" w:bidi="ru-RU"/>
        </w:rPr>
        <w:t xml:space="preserve">печения потребностей растущей Томской агломерации и соответствующих перерабатывающих производств. Усилилась специализация района в части переработки сельскохозяйственного сырья. Так, например, в 2018 году СППК "Монастырский" запустил цех по переработке мол</w:t>
      </w:r>
      <w:r>
        <w:rPr>
          <w:rFonts w:ascii="Arial" w:hAnsi="Arial" w:cs="Arial" w:eastAsia="Arial"/>
          <w:sz w:val="20"/>
          <w:szCs w:val="20"/>
          <w:lang w:val="ru-RU" w:bidi="ru-RU"/>
        </w:rPr>
        <w:t xml:space="preserve">ока в с. Молчаново. Готовая продукция реализуется в объекты социальной сферы района и в торговые объекты Молчановского и Кривошеинского районов. Благодаря наличию месторождений кирпичной глины и строительного торфа в перспективе возможна добыча и производс</w:t>
      </w:r>
      <w:r>
        <w:rPr>
          <w:rFonts w:ascii="Arial" w:hAnsi="Arial" w:cs="Arial" w:eastAsia="Arial"/>
          <w:sz w:val="20"/>
          <w:szCs w:val="20"/>
          <w:lang w:val="ru-RU" w:bidi="ru-RU"/>
        </w:rPr>
        <w:t xml:space="preserve">тво строительных материалов. Наличие в районе уникальных объектов религиозного значения (Свято-Никольский женский монастырь в с. Могочино, строительство мужского монастыря на территории бывшей д. Волок), богатые природные ресурсы формируют предпосылки для </w:t>
      </w:r>
      <w:r>
        <w:rPr>
          <w:rFonts w:ascii="Arial" w:hAnsi="Arial" w:cs="Arial" w:eastAsia="Arial"/>
          <w:sz w:val="20"/>
          <w:szCs w:val="20"/>
          <w:lang w:val="ru-RU" w:bidi="ru-RU"/>
        </w:rPr>
        <w:t xml:space="preserve">развития религиозного, познавательного, рыболовного и охотничьего туризма. В целях развития рекреационной деятельности на территории района разработаны туристские маршруты: "Маршрут школьный", "Таежное сафари", "Сибирский странник", "Охотничье-рыболовный".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Шегарский район занимает транзитное положение в западной части Томской области. Основой специализации являются отрасли сельского хозяйства и обрабатывающие производс</w:t>
      </w:r>
      <w:r>
        <w:rPr>
          <w:rFonts w:ascii="Arial" w:hAnsi="Arial" w:cs="Arial" w:eastAsia="Arial"/>
          <w:sz w:val="20"/>
          <w:szCs w:val="20"/>
          <w:lang w:val="ru-RU" w:bidi="ru-RU"/>
        </w:rPr>
        <w:t xml:space="preserve">тва. В 2014 - 2019 гг. численность населения района снизилась по сравнению с 2014 годом на 0,6 тыс. чел. (-3,1%) и составила 18,9 тыс. чел. Численность населения снижается опережающими темпами по сравнению с прогнозными показателями из-за продолжающейся ес</w:t>
      </w:r>
      <w:r>
        <w:rPr>
          <w:rFonts w:ascii="Arial" w:hAnsi="Arial" w:cs="Arial" w:eastAsia="Arial"/>
          <w:sz w:val="20"/>
          <w:szCs w:val="20"/>
          <w:lang w:val="ru-RU" w:bidi="ru-RU"/>
        </w:rPr>
        <w:t xml:space="preserve">тественной убыли населения, сопровождаемой миграцией из района. Шегарский район сохранит важное транзитное положение на транспортной магистрали, связывающей Томскую и Новосибирскую области, а также областной центр с муниципальными образованиями на западе, </w:t>
      </w:r>
      <w:r>
        <w:rPr>
          <w:rFonts w:ascii="Arial" w:hAnsi="Arial" w:cs="Arial" w:eastAsia="Arial"/>
          <w:sz w:val="20"/>
          <w:szCs w:val="20"/>
          <w:lang w:val="ru-RU" w:bidi="ru-RU"/>
        </w:rPr>
        <w:t xml:space="preserve">в центре и на севере области (в перспективе с круглогодичным доступом в Бакчарский, Каргасокский районы и городской округ "Город Кедровый"). Район сохранит свою сельскохозяйственную специализацию на молочном животноводстве с последующим развитием соответст</w:t>
      </w:r>
      <w:r>
        <w:rPr>
          <w:rFonts w:ascii="Arial" w:hAnsi="Arial" w:cs="Arial" w:eastAsia="Arial"/>
          <w:sz w:val="20"/>
          <w:szCs w:val="20"/>
          <w:lang w:val="ru-RU" w:bidi="ru-RU"/>
        </w:rPr>
        <w:t xml:space="preserve">вующих перерабатывающих производств; перспективно развитие зернового хозяйства. В поселке Каргала будет создан комплекс сжижения природного газа, который позволит газифицировать котельные, предприятия и жилые дома в Шегарском, Бакчарском, Чаинском и Тегуль</w:t>
      </w:r>
      <w:r>
        <w:rPr>
          <w:rFonts w:ascii="Arial" w:hAnsi="Arial" w:cs="Arial" w:eastAsia="Arial"/>
          <w:sz w:val="20"/>
          <w:szCs w:val="20"/>
          <w:lang w:val="ru-RU" w:bidi="ru-RU"/>
        </w:rPr>
        <w:t xml:space="preserve">детском районах. Наличие ландшафтов в бассейне реки Обь, обладающих высокой туристской аттрактивностью, озер с пресной водой создает мощный стимул для развития рекреации. В перспективе район станет одним из рекреационных центров, обслуживающих потребности </w:t>
      </w:r>
      <w:r>
        <w:rPr>
          <w:rFonts w:ascii="Arial" w:hAnsi="Arial" w:cs="Arial" w:eastAsia="Arial"/>
          <w:sz w:val="20"/>
          <w:szCs w:val="20"/>
          <w:lang w:val="ru-RU" w:bidi="ru-RU"/>
        </w:rPr>
        <w:t xml:space="preserve">жителей Томской агломерации в активном отдыхе. Существует потенциал развития транспортно-логистических комплексов благодаря выгодному транспортно-географическому положению вблизи Томской агломерации, потенциал размещения предприятий газо- и нефтепереработк</w:t>
      </w:r>
      <w:r>
        <w:rPr>
          <w:rFonts w:ascii="Arial" w:hAnsi="Arial" w:cs="Arial" w:eastAsia="Arial"/>
          <w:sz w:val="20"/>
          <w:szCs w:val="20"/>
          <w:lang w:val="ru-RU" w:bidi="ru-RU"/>
        </w:rPr>
        <w:t xml:space="preserve">и благодаря близости агломерации и наличию соответствующих трубопроводов, потенциал добычи и производства строительных материалов благодаря наличию месторождений железных болотных руд, песчано-гравийной смеси, минеральных удобрений (сапропель), торфа и др.</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Центрально-южный агропромышленный пояс (Кривошеинский, Бакчарский, Колпашевский, Кожевниковский, Чаинский районы). Ключевой задачей развития агропромышленного пояса Томской области является комплексная технологическая модернизация </w:t>
      </w:r>
      <w:r>
        <w:rPr>
          <w:rFonts w:ascii="Arial" w:hAnsi="Arial" w:cs="Arial" w:eastAsia="Arial"/>
          <w:sz w:val="20"/>
          <w:szCs w:val="20"/>
          <w:lang w:val="ru-RU" w:bidi="ru-RU"/>
        </w:rPr>
        <w:t xml:space="preserve">производств и перевод их на передовые цифровые решения, в том числе автоматизированные и роботизированные производства с высокой производительностью труда. Это позволит сохранить объемы производства продукции даже в условиях снижения численности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Кривошеинский район расположен в центре Томской области и занима</w:t>
      </w:r>
      <w:r>
        <w:rPr>
          <w:rFonts w:ascii="Arial" w:hAnsi="Arial" w:cs="Arial" w:eastAsia="Arial"/>
          <w:sz w:val="20"/>
          <w:szCs w:val="20"/>
          <w:lang w:val="ru-RU" w:bidi="ru-RU"/>
        </w:rPr>
        <w:t xml:space="preserve">ет транзитное положение на автомобильной трассе "Томск - Колпашево". За 2014 - 2019 гг. численность постоянного населения района сократилась на 4% от уровня 2014 года и по состоянию на конец 2019 года составила 11,9 тыс. человек. В районе активно развивает</w:t>
      </w:r>
      <w:r>
        <w:rPr>
          <w:rFonts w:ascii="Arial" w:hAnsi="Arial" w:cs="Arial" w:eastAsia="Arial"/>
          <w:sz w:val="20"/>
          <w:szCs w:val="20"/>
          <w:lang w:val="ru-RU" w:bidi="ru-RU"/>
        </w:rPr>
        <w:t xml:space="preserve">ся рекреационная деятельность, связанная с популяризацией казачьей культуры. С 2011 года проводится ежегодный фестиваль казачьей культуры "Сибирская братина". В период с 2014 по 2018 гг. значительно увеличилась экспозиция музея казачьей культуры и быта "Бр</w:t>
      </w:r>
      <w:r>
        <w:rPr>
          <w:rFonts w:ascii="Arial" w:hAnsi="Arial" w:cs="Arial" w:eastAsia="Arial"/>
          <w:sz w:val="20"/>
          <w:szCs w:val="20"/>
          <w:lang w:val="ru-RU" w:bidi="ru-RU"/>
        </w:rPr>
        <w:t xml:space="preserve">атина", включенного в туристский маршрут "Золотое кольцо Томской области". Район имеет значительные запасы рыбных ресурсов для организации рыболовства и возможности для организации рыбоводства. Территориальная близость к областному центру и хорошая транспо</w:t>
      </w:r>
      <w:r>
        <w:rPr>
          <w:rFonts w:ascii="Arial" w:hAnsi="Arial" w:cs="Arial" w:eastAsia="Arial"/>
          <w:sz w:val="20"/>
          <w:szCs w:val="20"/>
          <w:lang w:val="ru-RU" w:bidi="ru-RU"/>
        </w:rPr>
        <w:t xml:space="preserve">ртная доступность открывают возможности для поставки на областной рынок сельскохозяйственного сырья (в частности, молока, рыбы, дикоросов) и готовой продукции. В долгосрочной перспективе район сохранит сельскохозяйственную специализацию на молочном животно</w:t>
      </w:r>
      <w:r>
        <w:rPr>
          <w:rFonts w:ascii="Arial" w:hAnsi="Arial" w:cs="Arial" w:eastAsia="Arial"/>
          <w:sz w:val="20"/>
          <w:szCs w:val="20"/>
          <w:lang w:val="ru-RU" w:bidi="ru-RU"/>
        </w:rPr>
        <w:t xml:space="preserve">водстве при развитии сопутствующих перерабатывающих производств. Импульс развитию будет дан за счет строительства мясных и молочных ферм и сопутствующих производств по выпуску переработанной продукции. Перспективным направлением является переработка дикора</w:t>
      </w:r>
      <w:r>
        <w:rPr>
          <w:rFonts w:ascii="Arial" w:hAnsi="Arial" w:cs="Arial" w:eastAsia="Arial"/>
          <w:sz w:val="20"/>
          <w:szCs w:val="20"/>
          <w:lang w:val="ru-RU" w:bidi="ru-RU"/>
        </w:rPr>
        <w:t xml:space="preserve">стущего сырья, расширение видов вовлекаемого в переработку сырья при наличии устойчивого спроса на данную продукцию. Развитие лесной отрасли для района имеет не только экономическое, но и большое социальное значение. На территории района действует крупный </w:t>
      </w:r>
      <w:r>
        <w:rPr>
          <w:rFonts w:ascii="Arial" w:hAnsi="Arial" w:cs="Arial" w:eastAsia="Arial"/>
          <w:sz w:val="20"/>
          <w:szCs w:val="20"/>
          <w:lang w:val="ru-RU" w:bidi="ru-RU"/>
        </w:rPr>
        <w:t xml:space="preserve">инвестиционный проект "Создание лесозаготовительной инфраструктуры для освоения труднодоступных лесных территорий в Александровском и Каргасокском районе, создание мощностей по комплексной переработке древесины в с. Красный Яр Кривошеинского района Томской</w:t>
      </w:r>
      <w:r>
        <w:rPr>
          <w:rFonts w:ascii="Arial" w:hAnsi="Arial" w:cs="Arial" w:eastAsia="Arial"/>
          <w:sz w:val="20"/>
          <w:szCs w:val="20"/>
          <w:lang w:val="ru-RU" w:bidi="ru-RU"/>
        </w:rPr>
        <w:t xml:space="preserve"> области". Объем финансирования проекта более 1 млрд рублей. Завершение реализации проекта позволит создать более двухсот рабочих мест. На данный момент организован сбор дикорастущего сырья в левобережной части бассейна р. Оби. В перспективе возможно строи</w:t>
      </w:r>
      <w:r>
        <w:rPr>
          <w:rFonts w:ascii="Arial" w:hAnsi="Arial" w:cs="Arial" w:eastAsia="Arial"/>
          <w:sz w:val="20"/>
          <w:szCs w:val="20"/>
          <w:lang w:val="ru-RU" w:bidi="ru-RU"/>
        </w:rPr>
        <w:t xml:space="preserve">тельство комплекса по переработке дикорастущего сырья на 50 рабочих мест. Положительный социально-экономический эффект на развитие района окажет строительство газопровода "Алтай" и связанное с ним увеличение мощностей компрессорной станции у села Володино.</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Бакчарский район. Основу экономической специализации района составляют сельское хозяйство и пищевая промышленность. За 2014 - 2019 гг. численность постоянного населения района сократилась на 6,5% от уровня 2014 года и в 2019 году составила 11,6 тыс. челов</w:t>
      </w:r>
      <w:r>
        <w:rPr>
          <w:rFonts w:ascii="Arial" w:hAnsi="Arial" w:cs="Arial" w:eastAsia="Arial"/>
          <w:sz w:val="20"/>
          <w:szCs w:val="20"/>
          <w:lang w:val="ru-RU" w:bidi="ru-RU"/>
        </w:rPr>
        <w:t xml:space="preserve">ек, что ниже прогнозного значения. Сокращение численности населения района происходит в основном за счет миграционной убыли населения. Бакчарский район в перспективе до 2030 года сохранит свою сельскохозяйственную специализацию. Основой для развития сельск</w:t>
      </w:r>
      <w:r>
        <w:rPr>
          <w:rFonts w:ascii="Arial" w:hAnsi="Arial" w:cs="Arial" w:eastAsia="Arial"/>
          <w:sz w:val="20"/>
          <w:szCs w:val="20"/>
          <w:lang w:val="ru-RU" w:bidi="ru-RU"/>
        </w:rPr>
        <w:t xml:space="preserve">ого хозяйства станут крестьянско-фермерские хозяйства. Особой точкой роста в агропромышленном комплексе района является опорный пункт северного садоводства ОГУП "Бакчарское", основными направлениями деятельности которого являются организация и обеспечение </w:t>
      </w:r>
      <w:r>
        <w:rPr>
          <w:rFonts w:ascii="Arial" w:hAnsi="Arial" w:cs="Arial" w:eastAsia="Arial"/>
          <w:sz w:val="20"/>
          <w:szCs w:val="20"/>
          <w:lang w:val="ru-RU" w:bidi="ru-RU"/>
        </w:rPr>
        <w:t xml:space="preserve">научно-исследовательских работ, производство и реализация посадочного материала плодовых, ягодных, цветочно-декоративных культур и ягод, в перспективе - организация переработки ягод. Получит развитие пищевая промышленность в части переработки мясной и моло</w:t>
      </w:r>
      <w:r>
        <w:rPr>
          <w:rFonts w:ascii="Arial" w:hAnsi="Arial" w:cs="Arial" w:eastAsia="Arial"/>
          <w:sz w:val="20"/>
          <w:szCs w:val="20"/>
          <w:lang w:val="ru-RU" w:bidi="ru-RU"/>
        </w:rPr>
        <w:t xml:space="preserve">чной продукции, производство плодово-ягодной продукции;; туристская отрасль, основанная на наличии на территории района богатых природных ресурсов и живописной природы. В рамках оптимистического сценария после дополнительных исследований торфяных залежей и</w:t>
      </w:r>
      <w:r>
        <w:rPr>
          <w:rFonts w:ascii="Arial" w:hAnsi="Arial" w:cs="Arial" w:eastAsia="Arial"/>
          <w:sz w:val="20"/>
          <w:szCs w:val="20"/>
          <w:lang w:val="ru-RU" w:bidi="ru-RU"/>
        </w:rPr>
        <w:t xml:space="preserve">мпульсом развития может стать разработка торфяных месторождений и производство продукции из торфа, при строительстве соответствующей инфраструктуры в условиях истощения других месторождений Западной Сибири - разработка Бакчарского железорудного проявления.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Колпашевский район. За 2014 - 2019 гг. численно</w:t>
      </w:r>
      <w:r>
        <w:rPr>
          <w:rFonts w:ascii="Arial" w:hAnsi="Arial" w:cs="Arial" w:eastAsia="Arial"/>
          <w:sz w:val="20"/>
          <w:szCs w:val="20"/>
          <w:lang w:val="ru-RU" w:bidi="ru-RU"/>
        </w:rPr>
        <w:t xml:space="preserve">сть постоянного населения района сократилась на 2,3% и составила 38,3 тыс. человек. Сокращение численности населения происходит из-за естественной и миграционной убыли. Территория Колпашевского района обладает значительным ресурсным потенциалом. Район прив</w:t>
      </w:r>
      <w:r>
        <w:rPr>
          <w:rFonts w:ascii="Arial" w:hAnsi="Arial" w:cs="Arial" w:eastAsia="Arial"/>
          <w:sz w:val="20"/>
          <w:szCs w:val="20"/>
          <w:lang w:val="ru-RU" w:bidi="ru-RU"/>
        </w:rPr>
        <w:t xml:space="preserve">лекателен ввиду наличия уникальных лечебно-минеральных вод, лесных и охотничьих угодий, обширных площадей сельскохозяйственных земель, значительных запасов дикорастущего сырья. Территория обладает разведанными и потенциальными ресурсами полезных ископаемых</w:t>
      </w:r>
      <w:r>
        <w:rPr>
          <w:rFonts w:ascii="Arial" w:hAnsi="Arial" w:cs="Arial" w:eastAsia="Arial"/>
          <w:sz w:val="20"/>
          <w:szCs w:val="20"/>
          <w:lang w:val="ru-RU" w:bidi="ru-RU"/>
        </w:rPr>
        <w:t xml:space="preserve">: железная руда, торф, глина, песок, а также достаточными для промышленного использования биоресурсами. На территории Колпашевского района осуществляет деятельность Нарымский отдел Сибирского научно-исследовательского института сельского хозяйства и торфа </w:t>
      </w:r>
      <w:r>
        <w:rPr>
          <w:rFonts w:ascii="Arial" w:hAnsi="Arial" w:cs="Arial" w:eastAsia="Arial"/>
          <w:sz w:val="20"/>
          <w:szCs w:val="20"/>
          <w:lang w:val="ru-RU" w:bidi="ru-RU"/>
        </w:rPr>
        <w:t xml:space="preserve">Российской академии сельскохозяйственных наук, занимающийся селекцией и семеноводством сельскохозяйственных культур, дальнейшее развитие которого благоприятно скажется на устойчивом развитии не только Колпашевского района, но и Томской области в целом. Выг</w:t>
      </w:r>
      <w:r>
        <w:rPr>
          <w:rFonts w:ascii="Arial" w:hAnsi="Arial" w:cs="Arial" w:eastAsia="Arial"/>
          <w:sz w:val="20"/>
          <w:szCs w:val="20"/>
          <w:lang w:val="ru-RU" w:bidi="ru-RU"/>
        </w:rPr>
        <w:t xml:space="preserve">одное транспортно-географическое положение должно способствовать тому, что Колпашевский район в долгосрочной перспективе может стать центром транспортно-логистических сервисов, развитие которых будет связано со строительством Северной широтной автомобильно</w:t>
      </w:r>
      <w:r>
        <w:rPr>
          <w:rFonts w:ascii="Arial" w:hAnsi="Arial" w:cs="Arial" w:eastAsia="Arial"/>
          <w:sz w:val="20"/>
          <w:szCs w:val="20"/>
          <w:lang w:val="ru-RU" w:bidi="ru-RU"/>
        </w:rPr>
        <w:t xml:space="preserve">й дороги. В связи с развитием транспортной инфраструктуры развитие транспортно-логистических комплексов возможно вблизи села Чажемто, находящегося вблизи пересечения субмеридиональных и субширотных дорог. В перспективе планируется промышленное освоение и п</w:t>
      </w:r>
      <w:r>
        <w:rPr>
          <w:rFonts w:ascii="Arial" w:hAnsi="Arial" w:cs="Arial" w:eastAsia="Arial"/>
          <w:sz w:val="20"/>
          <w:szCs w:val="20"/>
          <w:lang w:val="ru-RU" w:bidi="ru-RU"/>
        </w:rPr>
        <w:t xml:space="preserve">ереработка глины путем строительства завода по производству керамических изделий, развитие в районе животноводства. Сохранится важная роль села Чажемто как центра санаторно-оздоровительных услуг, учитывая наличие санатория "Чажемто" с хорошей материальной </w:t>
      </w:r>
      <w:r>
        <w:rPr>
          <w:rFonts w:ascii="Arial" w:hAnsi="Arial" w:cs="Arial" w:eastAsia="Arial"/>
          <w:sz w:val="20"/>
          <w:szCs w:val="20"/>
          <w:lang w:val="ru-RU" w:bidi="ru-RU"/>
        </w:rPr>
        <w:t xml:space="preserve">базой и уникальным природным потенциалом. Природный и культурный потенциал, а также выгодное расположение сельского поселения вблизи трассы, соединяющей Томск с северными районами области, позволит постепенно развивать направления внутреннего и (в перспект</w:t>
      </w:r>
      <w:r>
        <w:rPr>
          <w:rFonts w:ascii="Arial" w:hAnsi="Arial" w:cs="Arial" w:eastAsia="Arial"/>
          <w:sz w:val="20"/>
          <w:szCs w:val="20"/>
          <w:lang w:val="ru-RU" w:bidi="ru-RU"/>
        </w:rPr>
        <w:t xml:space="preserve">иве) въездного туризма в Колпашевском районе. Перспективным направлением является модернизация производств по переработке рыбных ресурсов. В сельских поселениях возможно развитие деятельности по заготовке и переработке дикорастущего сырья. В долгосрочной п</w:t>
      </w:r>
      <w:r>
        <w:rPr>
          <w:rFonts w:ascii="Arial" w:hAnsi="Arial" w:cs="Arial" w:eastAsia="Arial"/>
          <w:sz w:val="20"/>
          <w:szCs w:val="20"/>
          <w:lang w:val="ru-RU" w:bidi="ru-RU"/>
        </w:rPr>
        <w:t xml:space="preserve">ерспективе в Колпашевском районе возможно проведение детализации геологического изучения перспектив нефтегазоносности на правобережье реки Обь для начала освоения ресурсов углеводородного сырья. Сбалансированное территориальное развитие Колпашевского район</w:t>
      </w:r>
      <w:r>
        <w:rPr>
          <w:rFonts w:ascii="Arial" w:hAnsi="Arial" w:cs="Arial" w:eastAsia="Arial"/>
          <w:sz w:val="20"/>
          <w:szCs w:val="20"/>
          <w:lang w:val="ru-RU" w:bidi="ru-RU"/>
        </w:rPr>
        <w:t xml:space="preserve">а в перспективе должно быть связано с созданием благоприятных условий для проживания населения путем оптимизации работы паромной переправы через реку Обь, реконструкции автомобильных дорог, продолжения газификации города Колпашево и населенных пунктов райо</w:t>
      </w:r>
      <w:r>
        <w:rPr>
          <w:rFonts w:ascii="Arial" w:hAnsi="Arial" w:cs="Arial" w:eastAsia="Arial"/>
          <w:sz w:val="20"/>
          <w:szCs w:val="20"/>
          <w:lang w:val="ru-RU" w:bidi="ru-RU"/>
        </w:rPr>
        <w:t xml:space="preserve">на, а также функционирования объектов инженерной, социальной и других видов инфраструктуры, обеспечивающей условия для развития бизнеса и сферы социальных услуг, привлечения на территорию новых квалифицированных кадров и повышения качества жизни населения.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Кожевниковский район. Ключевой отраслью специализации Кожевниковского района является сельское хозяйство. Объем продукции сельского хозяйства вырос в 2018 году на 13,4% в реальн</w:t>
      </w:r>
      <w:r>
        <w:rPr>
          <w:rFonts w:ascii="Arial" w:hAnsi="Arial" w:cs="Arial" w:eastAsia="Arial"/>
          <w:sz w:val="20"/>
          <w:szCs w:val="20"/>
          <w:lang w:val="ru-RU" w:bidi="ru-RU"/>
        </w:rPr>
        <w:t xml:space="preserve">ых ценах по сравнению с 2014 годом и составил 3,1 млрд руб., что связано с увеличением посевных площадей сельскохозяйственных культур и развитием животноводческого направления. Всего в сельскохозяйственном комплексе занято 48 сельхозпредприятий и 8959 личн</w:t>
      </w:r>
      <w:r>
        <w:rPr>
          <w:rFonts w:ascii="Arial" w:hAnsi="Arial" w:cs="Arial" w:eastAsia="Arial"/>
          <w:sz w:val="20"/>
          <w:szCs w:val="20"/>
          <w:lang w:val="ru-RU" w:bidi="ru-RU"/>
        </w:rPr>
        <w:t xml:space="preserve">ых подсобных хозяйств. Промышленность района представлена обрабатывающими предприятиями пищевой промышленности. Общий объем произведенной продукции по данным предприятий в 2018 г. составил 287,7 млн руб. Однако перспективы по наращиванию перерабатывающих м</w:t>
      </w:r>
      <w:r>
        <w:rPr>
          <w:rFonts w:ascii="Arial" w:hAnsi="Arial" w:cs="Arial" w:eastAsia="Arial"/>
          <w:sz w:val="20"/>
          <w:szCs w:val="20"/>
          <w:lang w:val="ru-RU" w:bidi="ru-RU"/>
        </w:rPr>
        <w:t xml:space="preserve">ощностей сельскохозяйственной продукции для развития пищевой промышленности пока не реализованы ввиду отсутствия частной предпринимательской инициативы. Численность населения Кожевниковского района в 2019 году составила 20,3 тыс. человек, не изменившись по</w:t>
      </w:r>
      <w:r>
        <w:rPr>
          <w:rFonts w:ascii="Arial" w:hAnsi="Arial" w:cs="Arial" w:eastAsia="Arial"/>
          <w:sz w:val="20"/>
          <w:szCs w:val="20"/>
          <w:lang w:val="ru-RU" w:bidi="ru-RU"/>
        </w:rPr>
        <w:t xml:space="preserve"> сравнению с 2014 годом. Относительно благоприятная демографическая обстановка связана с выгодным транспортно-географическим положением на небольшом удалении от города Томска. Данный фактор замедлил миграционный отток населения, а также позитивно повлиял н</w:t>
      </w:r>
      <w:r>
        <w:rPr>
          <w:rFonts w:ascii="Arial" w:hAnsi="Arial" w:cs="Arial" w:eastAsia="Arial"/>
          <w:sz w:val="20"/>
          <w:szCs w:val="20"/>
          <w:lang w:val="ru-RU" w:bidi="ru-RU"/>
        </w:rPr>
        <w:t xml:space="preserve">а процессы рождаемости. Перспективные проекты связаны с развитием пищевой промышленности (в частности, расширением выпуска пивоваренной продукции), строительством 2 очереди очистных сооружений, логистического центра с сопутствующей инфраструктурой (гостини</w:t>
      </w:r>
      <w:r>
        <w:rPr>
          <w:rFonts w:ascii="Arial" w:hAnsi="Arial" w:cs="Arial" w:eastAsia="Arial"/>
          <w:sz w:val="20"/>
          <w:szCs w:val="20"/>
          <w:lang w:val="ru-RU" w:bidi="ru-RU"/>
        </w:rPr>
        <w:t xml:space="preserve">ца, столовая), строительством жилого комплекса для привлечения специалистов из других регионов Российской Федерации, а также возможного размещения работников и их семей (трудовая миграция), строительством фермы и развитием мясного и молочного производства.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Перспективным направлением развития района является туризм. Планируется раз</w:t>
      </w:r>
      <w:r>
        <w:rPr>
          <w:rFonts w:ascii="Arial" w:hAnsi="Arial" w:cs="Arial" w:eastAsia="Arial"/>
          <w:sz w:val="20"/>
          <w:szCs w:val="20"/>
          <w:lang w:val="ru-RU" w:bidi="ru-RU"/>
        </w:rPr>
        <w:t xml:space="preserve">витие Кожевниковского туристско-рекреационного кластера, который включает в себя рекреационную зону с. Киреевск, археологические "музеи под открытым небом", геологический памятник "Киреевский Яр" и природный комплекс "Вороновский Яр" биологические памятник</w:t>
      </w:r>
      <w:r>
        <w:rPr>
          <w:rFonts w:ascii="Arial" w:hAnsi="Arial" w:cs="Arial" w:eastAsia="Arial"/>
          <w:sz w:val="20"/>
          <w:szCs w:val="20"/>
          <w:lang w:val="ru-RU" w:bidi="ru-RU"/>
        </w:rPr>
        <w:t xml:space="preserve">и природы, зоны сельского и охотничье-рыболовного туризма. Формирование и обустройство данных туристских объектов может оказать существенное влияние на развитие района. На развитие района может оказать серьезное влияние реализация проектов строительства ма</w:t>
      </w:r>
      <w:r>
        <w:rPr>
          <w:rFonts w:ascii="Arial" w:hAnsi="Arial" w:cs="Arial" w:eastAsia="Arial"/>
          <w:sz w:val="20"/>
          <w:szCs w:val="20"/>
          <w:lang w:val="ru-RU" w:bidi="ru-RU"/>
        </w:rPr>
        <w:t xml:space="preserve">гистрального газопровода "Сила Сибири-2" (ранее - "Алтай"), перевода автотрассы "Новосибирск - Колывань - Кожевниково - Томск - Мариинск - Тисуль - Шарыпово" из регионального статуса в федеральный, а также производства строительных и отделочных материалов.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Чаинский район. Важнейшей отраслью специализации района является сельское хозяйство. Население Чаинского района продолжает сокращаться с превышением прогнозных значений. За 2014 - 2019 гг. чис</w:t>
      </w:r>
      <w:r>
        <w:rPr>
          <w:rFonts w:ascii="Arial" w:hAnsi="Arial" w:cs="Arial" w:eastAsia="Arial"/>
          <w:sz w:val="20"/>
          <w:szCs w:val="20"/>
          <w:lang w:val="ru-RU" w:bidi="ru-RU"/>
        </w:rPr>
        <w:t xml:space="preserve">ленность постоянного населения района сократилась на 4,2% и составила 11,5 тыс. человек. Основной причиной убыли населения является миграционный отток ввиду суровых природно-климатических условий, низкого уровня экономического развития, минимального уровня</w:t>
      </w:r>
      <w:r>
        <w:rPr>
          <w:rFonts w:ascii="Arial" w:hAnsi="Arial" w:cs="Arial" w:eastAsia="Arial"/>
          <w:sz w:val="20"/>
          <w:szCs w:val="20"/>
          <w:lang w:val="ru-RU" w:bidi="ru-RU"/>
        </w:rPr>
        <w:t xml:space="preserve"> транспортной доступности. В Чаинском районе продолжает развиваться сельское хозяйство. В районе находятся два сельскохозяйственных предприятия, относящихся к разряду малых. Чаинский район обладает значительными лесными ресурсами, что способствует активиза</w:t>
      </w:r>
      <w:r>
        <w:rPr>
          <w:rFonts w:ascii="Arial" w:hAnsi="Arial" w:cs="Arial" w:eastAsia="Arial"/>
          <w:sz w:val="20"/>
          <w:szCs w:val="20"/>
          <w:lang w:val="ru-RU" w:bidi="ru-RU"/>
        </w:rPr>
        <w:t xml:space="preserve">ции предпринимательской деятельности в сфере лесозаготовок. По состоянию на конец 2018 года на территории района зарегистрировано около 18 субъектов, занимающихся лесозаготовками. На территории района отмечается развитие туристской деятельности. В 2017 год</w:t>
      </w:r>
      <w:r>
        <w:rPr>
          <w:rFonts w:ascii="Arial" w:hAnsi="Arial" w:cs="Arial" w:eastAsia="Arial"/>
          <w:sz w:val="20"/>
          <w:szCs w:val="20"/>
          <w:lang w:val="ru-RU" w:bidi="ru-RU"/>
        </w:rPr>
        <w:t xml:space="preserve">у Чаинский район вошел в проект "Золотое кольцо Томской области: Окно в Сибирь" Русского географического общества, в рамках которого для туристов проводится "Медвежий праздник". На базе национально-культурной автономии удмуртов Чаинского района Томской обл</w:t>
      </w:r>
      <w:r>
        <w:rPr>
          <w:rFonts w:ascii="Arial" w:hAnsi="Arial" w:cs="Arial" w:eastAsia="Arial"/>
          <w:sz w:val="20"/>
          <w:szCs w:val="20"/>
          <w:lang w:val="ru-RU" w:bidi="ru-RU"/>
        </w:rPr>
        <w:t xml:space="preserve">асти "Восходящее солнце" проводится ежегодный областной праздник удмуртской культуры "Гербер", собирающий посетителей с населенных пунктов Чаинского и близлежащих районов. Перспективы развития района также связаны с разработкой месторождения железной руды.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Районы Севера (г. Стрежевой, Александровский районы), где в ближайшие годы прогнозируется стагнация традиционной нефтегазовой экономической базы, в новых условиях необходима реализация ускоренной программы диверсификации.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г. Стрежевой - это центр добычи нефти и газа и город нефтяников. Численность населения городского округа к 2019 году изменилась незначительно (-1,7</w:t>
      </w:r>
      <w:r>
        <w:rPr>
          <w:rFonts w:ascii="Arial" w:hAnsi="Arial" w:cs="Arial" w:eastAsia="Arial"/>
          <w:sz w:val="20"/>
          <w:szCs w:val="20"/>
          <w:lang w:val="ru-RU" w:bidi="ru-RU"/>
        </w:rPr>
        <w:t xml:space="preserve">% к 2014 году). Город Стрежевой ограничен в развитии существующей транспортной инфраструктурой. Основная схема движения в летнее время - авиалинии и водный транспорт, в зимнее - авиалинии и временные "зимники". Для улучшения транспортной связности территор</w:t>
      </w:r>
      <w:r>
        <w:rPr>
          <w:rFonts w:ascii="Arial" w:hAnsi="Arial" w:cs="Arial" w:eastAsia="Arial"/>
          <w:sz w:val="20"/>
          <w:szCs w:val="20"/>
          <w:lang w:val="ru-RU" w:bidi="ru-RU"/>
        </w:rPr>
        <w:t xml:space="preserve">ии построен мостовой переход через реку Вах на автомобильной дороге Нижневартовск - Стрежевой. Решить проблемы транспортной изолированности города может строительство завершающего участка Северной широтной автодороги в Каргасокском и Александровском района</w:t>
      </w:r>
      <w:r>
        <w:rPr>
          <w:rFonts w:ascii="Arial" w:hAnsi="Arial" w:cs="Arial" w:eastAsia="Arial"/>
          <w:sz w:val="20"/>
          <w:szCs w:val="20"/>
          <w:lang w:val="ru-RU" w:bidi="ru-RU"/>
        </w:rPr>
        <w:t xml:space="preserve">х и Северо-Сибирской железной дороги, что соединит Стрежевой с другими муниципальными образованиями области. Стрежевой продолжает свое развитие как центр добычи нефти и газа Советско-Соснинского месторождения АО "Томскнефть" ВНК (добывает до 65% от общего </w:t>
      </w:r>
      <w:r>
        <w:rPr>
          <w:rFonts w:ascii="Arial" w:hAnsi="Arial" w:cs="Arial" w:eastAsia="Arial"/>
          <w:sz w:val="20"/>
          <w:szCs w:val="20"/>
          <w:lang w:val="ru-RU" w:bidi="ru-RU"/>
        </w:rPr>
        <w:t xml:space="preserve">объема добычи нефти в Томской области). Организации нефтяного комплекса являются основными работодателями в городе, в этой сфере работает 30% от общей численности занятых по городу. Основу экономики города составляют Стрежевской нефтеперерабатывающий завод</w:t>
      </w:r>
      <w:r>
        <w:rPr>
          <w:rFonts w:ascii="Arial" w:hAnsi="Arial" w:cs="Arial" w:eastAsia="Arial"/>
          <w:sz w:val="20"/>
          <w:szCs w:val="20"/>
          <w:lang w:val="ru-RU" w:bidi="ru-RU"/>
        </w:rPr>
        <w:t xml:space="preserve">, компании, обслуживающие нефтепровод на Анжеро-Судженск и газопровод на Кузбасс, а также предприятия, предоставляющие услуги в области добычи полезных ископаемых (услуги по бурению, ремонту, демонтажу буровых вышек, специальные услуги по тушению пожаров).</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Александровский район является северной территорией, удаленной от областного центра со специализацией на добыче полезных ископаемых, рыбозаготовке и рыбопер</w:t>
      </w:r>
      <w:r>
        <w:rPr>
          <w:rFonts w:ascii="Arial" w:hAnsi="Arial" w:cs="Arial" w:eastAsia="Arial"/>
          <w:sz w:val="20"/>
          <w:szCs w:val="20"/>
          <w:lang w:val="ru-RU" w:bidi="ru-RU"/>
        </w:rPr>
        <w:t xml:space="preserve">еработке. С 2018 года на территории района велось строительство нового рыбоконсервного завода "Александровские консервы" на базе бывшего рыбокомбината по глубокой переработке рыбы, ввод в эксплуатацию которого осуществился в начале 2020 года. Население Але</w:t>
      </w:r>
      <w:r>
        <w:rPr>
          <w:rFonts w:ascii="Arial" w:hAnsi="Arial" w:cs="Arial" w:eastAsia="Arial"/>
          <w:sz w:val="20"/>
          <w:szCs w:val="20"/>
          <w:lang w:val="ru-RU" w:bidi="ru-RU"/>
        </w:rPr>
        <w:t xml:space="preserve">ксандровского района продолжает сокращаться, причем более быстрыми темпами, чем было установлено прогнозом. За период 2014 - 2019 гг. численность постоянного населения района сократилась на 7,1% и составила 7,9 тыс. человек. Основой убыли населения являетс</w:t>
      </w:r>
      <w:r>
        <w:rPr>
          <w:rFonts w:ascii="Arial" w:hAnsi="Arial" w:cs="Arial" w:eastAsia="Arial"/>
          <w:sz w:val="20"/>
          <w:szCs w:val="20"/>
          <w:lang w:val="ru-RU" w:bidi="ru-RU"/>
        </w:rPr>
        <w:t xml:space="preserve">я миграционный отток ввиду суровых природно-климатических условий, географической удаленности от других районов Томской области, минимального уровня транспортной доступности, а также популяризации вахтового метода осуществления трудового процесса в компани</w:t>
      </w:r>
      <w:r>
        <w:rPr>
          <w:rFonts w:ascii="Arial" w:hAnsi="Arial" w:cs="Arial" w:eastAsia="Arial"/>
          <w:sz w:val="20"/>
          <w:szCs w:val="20"/>
          <w:lang w:val="ru-RU" w:bidi="ru-RU"/>
        </w:rPr>
        <w:t xml:space="preserve">ях добывающего сектора. Популяризация вахтового метода усложняет функционирование социальной сферы района, что может привести к дефициту ресурсов, особенно в части учреждений системы здравоохранения. Район продолжит развивать свою специализацию на отраслях</w:t>
      </w:r>
      <w:r>
        <w:rPr>
          <w:rFonts w:ascii="Arial" w:hAnsi="Arial" w:cs="Arial" w:eastAsia="Arial"/>
          <w:sz w:val="20"/>
          <w:szCs w:val="20"/>
          <w:lang w:val="ru-RU" w:bidi="ru-RU"/>
        </w:rPr>
        <w:t xml:space="preserve"> нефтегазового сектора, в перспективе будет произведена разработка и эксплуатация месторождений на правом берегу р. Оби. Район продолжит обеспечивать функционирование Александровского нефтеперерабатывающего завода, Александровского линейного производственн</w:t>
      </w:r>
      <w:r>
        <w:rPr>
          <w:rFonts w:ascii="Arial" w:hAnsi="Arial" w:cs="Arial" w:eastAsia="Arial"/>
          <w:sz w:val="20"/>
          <w:szCs w:val="20"/>
          <w:lang w:val="ru-RU" w:bidi="ru-RU"/>
        </w:rPr>
        <w:t xml:space="preserve">ого управления (ЛПУМГ) (сервис магистрального газопровода "НГПЗ - Парабель - Кузбасс"), нефтепроводов Самотлор - Александровское, Александровское - Анжеро-Судженск, а также компрессорной станции "Александровская". В рамках диверсификации экономики района п</w:t>
      </w:r>
      <w:r>
        <w:rPr>
          <w:rFonts w:ascii="Arial" w:hAnsi="Arial" w:cs="Arial" w:eastAsia="Arial"/>
          <w:sz w:val="20"/>
          <w:szCs w:val="20"/>
          <w:lang w:val="ru-RU" w:bidi="ru-RU"/>
        </w:rPr>
        <w:t xml:space="preserve">ерспективно развитие рыбозаготовки и рыбопереработки, а также лесозаготовки. Район по-прежнему является транспортно изолированным, поэтому перспективным, но пока не реализованным направлением является развитие транспортно-логистических функций при соответс</w:t>
      </w:r>
      <w:r>
        <w:rPr>
          <w:rFonts w:ascii="Arial" w:hAnsi="Arial" w:cs="Arial" w:eastAsia="Arial"/>
          <w:sz w:val="20"/>
          <w:szCs w:val="20"/>
          <w:lang w:val="ru-RU" w:bidi="ru-RU"/>
        </w:rPr>
        <w:t xml:space="preserve">твующем развитии транспортной инфраструктуры, чему может способствовать строительство завершающего участка Северной широтной автодороги в Каргасокском и Александровском районах и Северо-Сибирской железной дороги. Перспективными к промышленному освоению ост</w:t>
      </w:r>
      <w:r>
        <w:rPr>
          <w:rFonts w:ascii="Arial" w:hAnsi="Arial" w:cs="Arial" w:eastAsia="Arial"/>
          <w:sz w:val="20"/>
          <w:szCs w:val="20"/>
          <w:lang w:val="ru-RU" w:bidi="ru-RU"/>
        </w:rPr>
        <w:t xml:space="preserve">аются месторождения строительных материалов - месторождения кирпичных глин, а также строительного грунта и торфа, разработка которых пока не начата. Перспективным проектом является строительство газопровода "Сила Сибири-2" и создание компрессорной станции.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Малые, удаленные и трудн</w:t>
      </w:r>
      <w:r>
        <w:rPr>
          <w:rFonts w:ascii="Arial" w:hAnsi="Arial" w:cs="Arial" w:eastAsia="Arial"/>
          <w:sz w:val="20"/>
          <w:szCs w:val="20"/>
          <w:lang w:val="ru-RU" w:bidi="ru-RU"/>
        </w:rPr>
        <w:t xml:space="preserve">одоступные районы (г. Кедровый, Каргасокский, Парабельский районы), экономико-географическое положение и ресурсный потенциал которых не позволит в ближайшие годы существенно нарастить промышленную базу и сформировать самостоятельные производственные центры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г. Кедровый</w:t>
      </w:r>
      <w:r>
        <w:rPr>
          <w:rFonts w:ascii="Arial" w:hAnsi="Arial" w:cs="Arial" w:eastAsia="Arial"/>
          <w:sz w:val="20"/>
          <w:szCs w:val="20"/>
          <w:lang w:val="ru-RU" w:bidi="ru-RU"/>
        </w:rPr>
        <w:t xml:space="preserve"> является вторым базовым городом после Стрежевого для обслуживания нефтяных месторождений (сервис на месторождениях, предоставление услуг вахтовикам). Развитие экономики муниципалитета базируется на разработке Лугинецкой группы месторождений. За 2014 - 201</w:t>
      </w:r>
      <w:r>
        <w:rPr>
          <w:rFonts w:ascii="Arial" w:hAnsi="Arial" w:cs="Arial" w:eastAsia="Arial"/>
          <w:sz w:val="20"/>
          <w:szCs w:val="20"/>
          <w:lang w:val="ru-RU" w:bidi="ru-RU"/>
        </w:rPr>
        <w:t xml:space="preserve">9 гг. численность постоянного населения городского округа сократилась на 11,8% от уровня 2014 года и составила 3 тыс. человек. Основой убыли населения является миграционный отток в основном из труднодоступных населенных пунктов из-за сложности доступа к со</w:t>
      </w:r>
      <w:r>
        <w:rPr>
          <w:rFonts w:ascii="Arial" w:hAnsi="Arial" w:cs="Arial" w:eastAsia="Arial"/>
          <w:sz w:val="20"/>
          <w:szCs w:val="20"/>
          <w:lang w:val="ru-RU" w:bidi="ru-RU"/>
        </w:rPr>
        <w:t xml:space="preserve">циальным услугам, изоляции от крупных населенных пунктов с развитой сферой услуг. При этом в городе отмечается высокий уровень развития жилого фонда и социальной инфраструктуры. Город обладает необходимыми трудовыми ресурсами и основными фондами, но требуе</w:t>
      </w:r>
      <w:r>
        <w:rPr>
          <w:rFonts w:ascii="Arial" w:hAnsi="Arial" w:cs="Arial" w:eastAsia="Arial"/>
          <w:sz w:val="20"/>
          <w:szCs w:val="20"/>
          <w:lang w:val="ru-RU" w:bidi="ru-RU"/>
        </w:rPr>
        <w:t xml:space="preserve">тся его переориентация на выполнение сопутствующих добывающей отрасли сервисных функций, для чего необходимо значительное улучшение доступности города. Перспективы его развития определяются дальнейшей добычей нефти и газа на близлежащих месторождениях Пара</w:t>
      </w:r>
      <w:r>
        <w:rPr>
          <w:rFonts w:ascii="Arial" w:hAnsi="Arial" w:cs="Arial" w:eastAsia="Arial"/>
          <w:sz w:val="20"/>
          <w:szCs w:val="20"/>
          <w:lang w:val="ru-RU" w:bidi="ru-RU"/>
        </w:rPr>
        <w:t xml:space="preserve">бельского района и востребованностью территорий городского округа для предоставления сопутствующего сервиса для нефтегазодобывающих организаций. В рамках оптимистического сценария, в случае перераспределения территорий Томской области, возможно становление</w:t>
      </w:r>
      <w:r>
        <w:rPr>
          <w:rFonts w:ascii="Arial" w:hAnsi="Arial" w:cs="Arial" w:eastAsia="Arial"/>
          <w:sz w:val="20"/>
          <w:szCs w:val="20"/>
          <w:lang w:val="ru-RU" w:bidi="ru-RU"/>
        </w:rPr>
        <w:t xml:space="preserve"> города одним из центров нефтегазодобычи в случае присоединения территорий близлежащих месторождений к территории муниципального образования, а также при условии развития и внедрения новых разработок и интенсификации геологоразведки непосредственно на терр</w:t>
      </w:r>
      <w:r>
        <w:rPr>
          <w:rFonts w:ascii="Arial" w:hAnsi="Arial" w:cs="Arial" w:eastAsia="Arial"/>
          <w:sz w:val="20"/>
          <w:szCs w:val="20"/>
          <w:lang w:val="ru-RU" w:bidi="ru-RU"/>
        </w:rPr>
        <w:t xml:space="preserve">итории муниципального образования "Город Кедровый". В среднесрочной перспективе возможна диверсификация производственной специализации города, стимулирование развитие малого бизнеса, сохранение жизнеспособности городского округа и имеющейся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Город Кедровый, находящийся в трудной доступности и приравненный к районам Крайнего Севера, в наибольшей сте</w:t>
      </w:r>
      <w:r>
        <w:rPr>
          <w:rFonts w:ascii="Arial" w:hAnsi="Arial" w:cs="Arial" w:eastAsia="Arial"/>
          <w:sz w:val="20"/>
          <w:szCs w:val="20"/>
          <w:lang w:val="ru-RU" w:bidi="ru-RU"/>
        </w:rPr>
        <w:t xml:space="preserve">пени зависит от создания круглогодичной транспортной инфраструктуры, способной связать город с Парабельским и Бакчарским районами. В перспективе, при условии улучшения транспортной доступности, возможно развитие культурно-познавательного туризма посредство</w:t>
      </w:r>
      <w:r>
        <w:rPr>
          <w:rFonts w:ascii="Arial" w:hAnsi="Arial" w:cs="Arial" w:eastAsia="Arial"/>
          <w:sz w:val="20"/>
          <w:szCs w:val="20"/>
          <w:lang w:val="ru-RU" w:bidi="ru-RU"/>
        </w:rPr>
        <w:t xml:space="preserve">м ежегодного проведения на территории муниципального образования межрайонного фестиваля "Поэтическая провинция", который организуется с 2017 года. Планируется продолжать фестиваль в более расширенном формате и объединить в рамках фестиваля не только писате</w:t>
      </w:r>
      <w:r>
        <w:rPr>
          <w:rFonts w:ascii="Arial" w:hAnsi="Arial" w:cs="Arial" w:eastAsia="Arial"/>
          <w:sz w:val="20"/>
          <w:szCs w:val="20"/>
          <w:lang w:val="ru-RU" w:bidi="ru-RU"/>
        </w:rPr>
        <w:t xml:space="preserve">лей и поэтов, но и художников, музыкантов, певцов, то есть всех желающих показать свое творчество более широкой аудитории. Помимо культурного и интеллектуального времяпровождения в рамках мероприятий фестиваля гости и участники смогут оценить окружающую пр</w:t>
      </w:r>
      <w:r>
        <w:rPr>
          <w:rFonts w:ascii="Arial" w:hAnsi="Arial" w:cs="Arial" w:eastAsia="Arial"/>
          <w:sz w:val="20"/>
          <w:szCs w:val="20"/>
          <w:lang w:val="ru-RU" w:bidi="ru-RU"/>
        </w:rPr>
        <w:t xml:space="preserve">ироду, чистый воздух и пейзажи сибирской тайги посредством предлагаемых экомаршрутов по близлежащим к городу лесам. Кроме пеших маршрутов, "скандинавской ходьбы" имеется возможность проехать по экомаршруту на велосипедах, зимой совершить лыжную прогулку. В</w:t>
      </w:r>
      <w:r>
        <w:rPr>
          <w:rFonts w:ascii="Arial" w:hAnsi="Arial" w:cs="Arial" w:eastAsia="Arial"/>
          <w:sz w:val="20"/>
          <w:szCs w:val="20"/>
          <w:lang w:val="ru-RU" w:bidi="ru-RU"/>
        </w:rPr>
        <w:t xml:space="preserve"> дальнейшем возможно развитие экологического и охотничье-рыболовного туризма в случае успешной реализации бизнес-проекта по строительству Базы отдыха на близлежащем к территории муниципального образования озере Мирное - самом большом озере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Каргасокский район, расположенный в северо-западной части Томской области, специализируется на добыче углеводородного сырья, а также рыбозаготовке и рыбопереработке. За 2014 - 2019 гг. численность постоянного на</w:t>
      </w:r>
      <w:r>
        <w:rPr>
          <w:rFonts w:ascii="Arial" w:hAnsi="Arial" w:cs="Arial" w:eastAsia="Arial"/>
          <w:sz w:val="20"/>
          <w:szCs w:val="20"/>
          <w:lang w:val="ru-RU" w:bidi="ru-RU"/>
        </w:rPr>
        <w:t xml:space="preserve">селения района сократилась на 9,6% от уровня 2014 года и составила 18,9 тыс. человек. Основой убыли населения является миграционный отток. Каргасокский район в перспективе будет оставаться территорией, на которой осуществляется добыча углеводородного сырья</w:t>
      </w:r>
      <w:r>
        <w:rPr>
          <w:rFonts w:ascii="Arial" w:hAnsi="Arial" w:cs="Arial" w:eastAsia="Arial"/>
          <w:sz w:val="20"/>
          <w:szCs w:val="20"/>
          <w:lang w:val="ru-RU" w:bidi="ru-RU"/>
        </w:rPr>
        <w:t xml:space="preserve">. В районе будут развиваться сопутствующее добыче производство нефтепродуктов, деревопереработка и виды деятельности, связанные с неистощимым природопользованием. Для развития добывающего комплекса в 2014 - 2018 гг. введено новое нефтяное месторождение "Во</w:t>
      </w:r>
      <w:r>
        <w:rPr>
          <w:rFonts w:ascii="Arial" w:hAnsi="Arial" w:cs="Arial" w:eastAsia="Arial"/>
          <w:sz w:val="20"/>
          <w:szCs w:val="20"/>
          <w:lang w:val="ru-RU" w:bidi="ru-RU"/>
        </w:rPr>
        <w:t xml:space="preserve">лковское"; проведены работы по бурению скважин, в том числе разведочных, Шингинского, Пуглалымского, Средненюрольского, Хвойного, Мыгинского, Южно-Майского месторождений; по строительству ДКС на Усть-Сильгинском ГКМ; реализуется комплексный проект разработ</w:t>
      </w:r>
      <w:r>
        <w:rPr>
          <w:rFonts w:ascii="Arial" w:hAnsi="Arial" w:cs="Arial" w:eastAsia="Arial"/>
          <w:sz w:val="20"/>
          <w:szCs w:val="20"/>
          <w:lang w:val="ru-RU" w:bidi="ru-RU"/>
        </w:rPr>
        <w:t xml:space="preserve">ки Мыльджинско-Васюганского актива. В 2017 г. ООО "ННК-Восточная транснациональная компания" открыла Белоярское газоконденсатное месторождение. Развитие района в значительной мере будет зависеть от реализации комплекса инфраструктурных проектов: строительс</w:t>
      </w:r>
      <w:r>
        <w:rPr>
          <w:rFonts w:ascii="Arial" w:hAnsi="Arial" w:cs="Arial" w:eastAsia="Arial"/>
          <w:sz w:val="20"/>
          <w:szCs w:val="20"/>
          <w:lang w:val="ru-RU" w:bidi="ru-RU"/>
        </w:rPr>
        <w:t xml:space="preserve">тво Северной широтной автомобильной дороги (участок Томск - Каргасок - Стрежевой), строительство автодороги межрегионального значения "Омск - Стрежевой" и развитие железнодорожной, автомобильной и портовой инфраструктуры в Ямало-Ненецком автономном округе.</w:t>
      </w:r>
      <w:r>
        <w:rPr>
          <w:rFonts w:ascii="Arial" w:hAnsi="Arial" w:cs="Arial" w:eastAsia="Arial"/>
          <w:sz w:val="20"/>
          <w:szCs w:val="20"/>
          <w:lang w:val="ru-RU" w:bidi="ru-RU"/>
        </w:rPr>
        <w:t xml:space="preserve"> На территории района перспективно увеличение рыбодобычи и рыбопереработки. В удаленной и малоосвоенной северо-восточной и заболоченной юго-западной частях района возможно создание природоохранных зон, ориентированных на сохранение территорий, подвергшихся</w:t>
      </w:r>
      <w:r>
        <w:rPr>
          <w:rFonts w:ascii="Arial" w:hAnsi="Arial" w:cs="Arial" w:eastAsia="Arial"/>
          <w:sz w:val="20"/>
          <w:szCs w:val="20"/>
          <w:lang w:val="ru-RU" w:bidi="ru-RU"/>
        </w:rPr>
        <w:t xml:space="preserve"> слабому воздействию человека. На территории района расположено значительное число рек и озер, поэтому перспективным может стать развитие экологического и спортивного туризма. Леса Каргасокского района представлены большим количеством видов дикорастущего с</w:t>
      </w:r>
      <w:r>
        <w:rPr>
          <w:rFonts w:ascii="Arial" w:hAnsi="Arial" w:cs="Arial" w:eastAsia="Arial"/>
          <w:sz w:val="20"/>
          <w:szCs w:val="20"/>
          <w:lang w:val="ru-RU" w:bidi="ru-RU"/>
        </w:rPr>
        <w:t xml:space="preserve">ырья, что в перспективе способствует развитию сферы заготовки и переработки дикоросов. Положительный социально-экономический эффект на развитие района может оказать строительство газопровода "Сила Сибири-2" и связанное с ним создание компрессорной станции.</w:t>
      </w:r>
      <w:r/>
    </w:p>
    <w:p>
      <w:pPr>
        <w:pStyle w:val="808"/>
        <w:ind w:left="0" w:right="0" w:firstLine="540"/>
        <w:jc w:val="both"/>
        <w:spacing w:lineRule="auto" w:line="240" w:after="0" w:before="200"/>
        <w:rPr>
          <w:rFonts w:ascii="Arial" w:hAnsi="Arial" w:cs="Arial" w:eastAsia="Arial"/>
          <w:sz w:val="20"/>
          <w:szCs w:val="20"/>
          <w:lang w:val="ru-RU" w:bidi="ru-RU"/>
        </w:rPr>
        <w:sectPr>
          <w:headerReference w:type="default" r:id="rId9"/>
          <w:footerReference w:type="default" r:id="rId12"/>
          <w:footnotePr>
            <w:pos w:val="pageBottom"/>
          </w:footnotePr>
          <w:endnotePr/>
          <w:type w:val="nextPage"/>
          <w:pgSz w:w="11906" w:h="16838" w:orient="portrait"/>
          <w:pgMar w:top="1440" w:right="566" w:bottom="1440" w:left="1133" w:header="0" w:footer="0" w:gutter="0"/>
          <w:cols w:num="1" w:sep="0" w:space="720" w:equalWidth="1"/>
          <w:docGrid w:linePitch="360"/>
        </w:sectPr>
      </w:pPr>
      <w:r>
        <w:rPr>
          <w:rFonts w:ascii="Arial" w:hAnsi="Arial" w:cs="Arial" w:eastAsia="Arial"/>
          <w:sz w:val="20"/>
          <w:szCs w:val="20"/>
          <w:lang w:val="ru-RU" w:bidi="ru-RU"/>
        </w:rPr>
        <w:t xml:space="preserve">Парабельский район расположен между Колпашевским и Каргасокским районами и специализирован</w:t>
      </w:r>
      <w:r>
        <w:rPr>
          <w:rFonts w:ascii="Arial" w:hAnsi="Arial" w:cs="Arial" w:eastAsia="Arial"/>
          <w:sz w:val="20"/>
          <w:szCs w:val="20"/>
          <w:lang w:val="ru-RU" w:bidi="ru-RU"/>
        </w:rPr>
        <w:t xml:space="preserve"> на отраслях, связанных с добычей полезных ископаемых, рыбозаготовкой и рыбопереработкой. Численность населения Парабельского района сократилась на 1,6% за 2014 - 2019 гг. и составила 12,2 тыс. человек в 2019 году. Парабельский район богат природными ресур</w:t>
      </w:r>
      <w:r>
        <w:rPr>
          <w:rFonts w:ascii="Arial" w:hAnsi="Arial" w:cs="Arial" w:eastAsia="Arial"/>
          <w:sz w:val="20"/>
          <w:szCs w:val="20"/>
          <w:lang w:val="ru-RU" w:bidi="ru-RU"/>
        </w:rPr>
        <w:t xml:space="preserve">сами: нефтью, газом, лесом, торфом и др. Предприятиями нефтегазодобывающего комплекса продолжена разработка Западно-Лугинецкого, Нижнелугинецкого, Болтного нефтяного, Казанского нефтегазоконденсатного месторождений (реализуется проект по реконструкции печи</w:t>
      </w:r>
      <w:r>
        <w:rPr>
          <w:rFonts w:ascii="Arial" w:hAnsi="Arial" w:cs="Arial" w:eastAsia="Arial"/>
          <w:sz w:val="20"/>
          <w:szCs w:val="20"/>
          <w:lang w:val="ru-RU" w:bidi="ru-RU"/>
        </w:rPr>
        <w:t xml:space="preserve"> на установке подготовки нефти Казанского месторождения) и Южной группы месторождений, в этой сфере работают ОАО "Томскнефть" ВНК, ОАО "Томскгазпром", ООО "Газпромнефть-Восток", ООО "Арчинское", ООО "Жиант", ООО "Энергонефть-Томск". Район имеет значительны</w:t>
      </w:r>
      <w:r>
        <w:rPr>
          <w:rFonts w:ascii="Arial" w:hAnsi="Arial" w:cs="Arial" w:eastAsia="Arial"/>
          <w:sz w:val="20"/>
          <w:szCs w:val="20"/>
          <w:lang w:val="ru-RU" w:bidi="ru-RU"/>
        </w:rPr>
        <w:t xml:space="preserve">е ресурсы дикоросов (грибов, ореха, ягод). Перспективными направлениями развития являются заготовка и переработка древесины, вылов и переработка рыбы. Вылов и переработка рыбы продолжены на ООО "Рыбозавод Парабельский", который имеет собственную рыбодобычу</w:t>
      </w:r>
      <w:r>
        <w:rPr>
          <w:rFonts w:ascii="Arial" w:hAnsi="Arial" w:cs="Arial" w:eastAsia="Arial"/>
          <w:sz w:val="20"/>
          <w:szCs w:val="20"/>
          <w:lang w:val="ru-RU" w:bidi="ru-RU"/>
        </w:rPr>
        <w:t xml:space="preserve">. На рабозаводе ведутся работы по модернизации и расширению производства. Сбор и переработка дикоросов по-прежнему являются одним из важнейших видов деятельности, осуществляемых жителями отдаленных населенных пунктов. Для развития туризма в 2016 году созда</w:t>
      </w:r>
      <w:r>
        <w:rPr>
          <w:rFonts w:ascii="Arial" w:hAnsi="Arial" w:cs="Arial" w:eastAsia="Arial"/>
          <w:sz w:val="20"/>
          <w:szCs w:val="20"/>
          <w:lang w:val="ru-RU" w:bidi="ru-RU"/>
        </w:rPr>
        <w:t xml:space="preserve">н Музей под открытым небом селькупской культуры и быта "Чумэл Чвэч". На базе музея проводится ежегодный фестиваль народов Севера "Этюды Севера", привлекающий туристов из других районов Томской области и соседних регионов. Событие послужило дополнительным и</w:t>
      </w:r>
      <w:r>
        <w:rPr>
          <w:rFonts w:ascii="Arial" w:hAnsi="Arial" w:cs="Arial" w:eastAsia="Arial"/>
          <w:sz w:val="20"/>
          <w:szCs w:val="20"/>
          <w:lang w:val="ru-RU" w:bidi="ru-RU"/>
        </w:rPr>
        <w:t xml:space="preserve">мпульсом к развитию экономики района. В части развития транспортной инфраструктуры завершилась реконструкция участка Северной широтной дороги: автодороги Могильный Мыс - Парабель - Каргасок, что позволило улучшить транспортную доступность отдельных населен</w:t>
      </w:r>
      <w:r>
        <w:rPr>
          <w:rFonts w:ascii="Arial" w:hAnsi="Arial" w:cs="Arial" w:eastAsia="Arial"/>
          <w:sz w:val="20"/>
          <w:szCs w:val="20"/>
          <w:lang w:val="ru-RU" w:bidi="ru-RU"/>
        </w:rPr>
        <w:t xml:space="preserve">ных пунктов района. Перспективным направлением для дальнейшего развития туристского потенциала района является создание кластера оздоровительного туризма. Планируется строительство рекреационного комплекса на базе скважины гидротермального источника Чистый</w:t>
      </w:r>
      <w:r>
        <w:rPr>
          <w:rFonts w:ascii="Arial" w:hAnsi="Arial" w:cs="Arial" w:eastAsia="Arial"/>
          <w:sz w:val="20"/>
          <w:szCs w:val="20"/>
          <w:lang w:val="ru-RU" w:bidi="ru-RU"/>
        </w:rPr>
        <w:t xml:space="preserve"> Яр и др. Дальнейшее развитие транспортной инфраструктуры в районе связано со строительством завершающего участка Северной широтной автодороги в Каргасокском и Александровском районах, после чего Парабельский район будет соединен с дорожной сетью Ханты-Ман</w:t>
      </w:r>
      <w:r>
        <w:rPr>
          <w:rFonts w:ascii="Arial" w:hAnsi="Arial" w:cs="Arial" w:eastAsia="Arial"/>
          <w:sz w:val="20"/>
          <w:szCs w:val="20"/>
          <w:lang w:val="ru-RU" w:bidi="ru-RU"/>
        </w:rPr>
        <w:t xml:space="preserve">сийского автономного округа, что обеспечит транзитный поток автотранспорта через населенные пункты района. Возможности для региона также предоставляет строительство Северо-Сибирской железной дороги, участок которой будет проходить через Парабельский район.</w:t>
      </w:r>
      <w:r/>
    </w:p>
    <w:p>
      <w:pPr>
        <w:pStyle w:val="810"/>
        <w:ind w:left="0" w:right="0" w:firstLine="0"/>
        <w:jc w:val="center"/>
        <w:spacing w:lineRule="auto" w:line="240" w:after="0" w:before="0"/>
        <w:rPr>
          <w:rFonts w:ascii="Arial" w:hAnsi="Arial" w:cs="Arial" w:eastAsia="Arial"/>
          <w:b/>
          <w:bCs/>
          <w:sz w:val="20"/>
          <w:szCs w:val="20"/>
          <w:lang w:val="ru-RU" w:bidi="ru-RU"/>
        </w:rPr>
        <w:outlineLvl w:val="2"/>
      </w:pPr>
      <w:r>
        <w:rPr>
          <w:rFonts w:ascii="Arial" w:hAnsi="Arial" w:cs="Arial" w:eastAsia="Arial"/>
          <w:b/>
          <w:bCs/>
          <w:sz w:val="20"/>
          <w:szCs w:val="20"/>
          <w:lang w:val="ru-RU" w:bidi="ru-RU"/>
        </w:rPr>
        <w:t xml:space="preserve">Целевые показатели социально-экономического развития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муниципальных образований Томской области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11 - Среднегодовая численность населения,</w:t>
      </w:r>
      <w:r/>
    </w:p>
    <w:tbl>
      <w:tblPr>
        <w:tblStyle w:val="807"/>
        <w:tblW w:w="0" w:type="auto"/>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928"/>
        <w:gridCol w:w="1361"/>
        <w:gridCol w:w="1247"/>
        <w:gridCol w:w="904"/>
        <w:gridCol w:w="904"/>
        <w:gridCol w:w="904"/>
        <w:gridCol w:w="904"/>
        <w:gridCol w:w="904"/>
        <w:gridCol w:w="904"/>
        <w:gridCol w:w="850"/>
        <w:gridCol w:w="850"/>
        <w:gridCol w:w="964"/>
        <w:gridCol w:w="964"/>
      </w:tblGrid>
      <w:tr>
        <w:trPr/>
        <w:tc>
          <w:tcPr>
            <w:tcBorders>
              <w:left w:val="single" w:color="000000" w:sz="4" w:space="0"/>
              <w:top w:val="single" w:color="000000" w:sz="4" w:space="0"/>
              <w:right w:val="single" w:color="000000" w:sz="4" w:space="0"/>
              <w:bottom w:val="single" w:color="000000" w:sz="4" w:space="0"/>
            </w:tcBorders>
            <w:tcW w:w="1928" w:type="dxa"/>
            <w:vAlign w:val="center"/>
            <w:vMerge w:val="restart"/>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тыс. человек Муниципальное образование</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Оценочное значение</w:t>
            </w:r>
            <w:r/>
          </w:p>
        </w:tc>
        <w:tc>
          <w:tcPr>
            <w:gridSpan w:val="10"/>
            <w:tcBorders>
              <w:left w:val="single" w:color="000000" w:sz="4" w:space="0"/>
              <w:top w:val="single" w:color="000000" w:sz="4" w:space="0"/>
              <w:right w:val="single" w:color="000000" w:sz="4" w:space="0"/>
              <w:bottom w:val="single" w:color="000000" w:sz="4" w:space="0"/>
            </w:tcBorders>
            <w:tcW w:w="9052"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Плановые значения</w:t>
            </w:r>
            <w:r/>
          </w:p>
        </w:tc>
      </w:tr>
      <w:t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Всего по области</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1078,4</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1074,8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1068,9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1063,0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1060,9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1059,2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1057,7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1056,2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1055,0</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1054,1</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1053,7</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Томск</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597,3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588,6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585,5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580,1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577,6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575,2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572,9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570,8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569,0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Стрежевой</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40,8</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Кедровый</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Александровский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7,7</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Асиновский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33,4</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32,6</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Бакчарский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11,7</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Верхнекетский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15,8</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15,3</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Зырянский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Каргасокский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18,8</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16,6</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16,4</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Кожевниковский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20,0</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Колпашевский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34,6</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Кривошеинский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11,8</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Молчановский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12,1</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Парабельский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12,1</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Первомайский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16,4</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Тегульдетский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6,0</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78,2</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83,0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88,0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89,7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93,1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94,8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98,4</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Чаинский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11,5</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Шегарский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17,3</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12 - Общая площадь жилых помещений, приходящаяся</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среднем на одного жителя (на конец года), кв. метров</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928"/>
        <w:gridCol w:w="1361"/>
        <w:gridCol w:w="1247"/>
        <w:gridCol w:w="904"/>
        <w:gridCol w:w="904"/>
        <w:gridCol w:w="904"/>
        <w:gridCol w:w="904"/>
        <w:gridCol w:w="904"/>
        <w:gridCol w:w="904"/>
        <w:gridCol w:w="850"/>
        <w:gridCol w:w="850"/>
        <w:gridCol w:w="964"/>
        <w:gridCol w:w="964"/>
      </w:tblGrid>
      <w:tr>
        <w:trPr/>
        <w:tc>
          <w:tcPr>
            <w:tcBorders>
              <w:left w:val="single" w:color="000000" w:sz="4" w:space="0"/>
              <w:top w:val="single" w:color="000000" w:sz="4" w:space="0"/>
              <w:right w:val="single" w:color="000000" w:sz="4" w:space="0"/>
              <w:bottom w:val="single" w:color="000000" w:sz="4" w:space="0"/>
            </w:tcBorders>
            <w:tcW w:w="1928" w:type="dxa"/>
            <w:vAlign w:val="center"/>
            <w:vMerge w:val="restart"/>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Муниципальное образование</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Оценочное значение</w:t>
            </w:r>
            <w:r/>
          </w:p>
        </w:tc>
        <w:tc>
          <w:tcPr>
            <w:gridSpan w:val="10"/>
            <w:tcBorders>
              <w:left w:val="single" w:color="000000" w:sz="4" w:space="0"/>
              <w:top w:val="single" w:color="000000" w:sz="4" w:space="0"/>
              <w:right w:val="single" w:color="000000" w:sz="4" w:space="0"/>
              <w:bottom w:val="single" w:color="000000" w:sz="4" w:space="0"/>
            </w:tcBorders>
            <w:tcW w:w="9052"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Плановые значения</w:t>
            </w:r>
            <w:r/>
          </w:p>
        </w:tc>
      </w:tr>
      <w:t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Всего по области</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30,7</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Томск</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29,0</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Стрежевой</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21,1</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24,7</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Кедровый</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29,8</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31,0</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Александровский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30,2</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32,2</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32,7</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Асиновский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32,5</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34,2</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34,6</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Бакчарский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23,4</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Верхнекетский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24,0</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25,0</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Зырянский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34,2</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35,2</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Каргасокский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25,8</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29,0</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Кожевниковский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23,5</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25,1</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25,2</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Колпашевский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28,5</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32,0</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Кривошеинский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27,7</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29,5</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30,1</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30,7</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Молчановский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34,2</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35,2</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Парабельский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25,7</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30,6</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32,3</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Первомайский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26,5</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31,5</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33,2</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34,2</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Тегульдетский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23,7</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27,5</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29,7</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30,6</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31,4</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35,2</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Чаинский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Шегарский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25,4</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31,0</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32,7</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13 - Среднемесячная начисленная заработная плата</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работников крупных и средних предприятий, руб.</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928"/>
        <w:gridCol w:w="1077"/>
        <w:gridCol w:w="1077"/>
        <w:gridCol w:w="904"/>
        <w:gridCol w:w="904"/>
        <w:gridCol w:w="904"/>
        <w:gridCol w:w="904"/>
        <w:gridCol w:w="904"/>
        <w:gridCol w:w="904"/>
        <w:gridCol w:w="1024"/>
        <w:gridCol w:w="1024"/>
        <w:gridCol w:w="1024"/>
        <w:gridCol w:w="1024"/>
      </w:tblGrid>
      <w:tr>
        <w:trPr/>
        <w:tc>
          <w:tcPr>
            <w:tcBorders>
              <w:left w:val="single" w:color="000000" w:sz="4" w:space="0"/>
              <w:top w:val="single" w:color="000000" w:sz="4" w:space="0"/>
              <w:right w:val="single" w:color="000000" w:sz="4" w:space="0"/>
              <w:bottom w:val="single" w:color="000000" w:sz="4" w:space="0"/>
            </w:tcBorders>
            <w:tcW w:w="1928" w:type="dxa"/>
            <w:vAlign w:val="center"/>
            <w:vMerge w:val="restart"/>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Муниципальное образование</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Оценочное значение</w:t>
            </w:r>
            <w:r/>
          </w:p>
        </w:tc>
        <w:tc>
          <w:tcPr>
            <w:gridSpan w:val="10"/>
            <w:tcBorders>
              <w:left w:val="single" w:color="000000" w:sz="4" w:space="0"/>
              <w:top w:val="single" w:color="000000" w:sz="4" w:space="0"/>
              <w:right w:val="single" w:color="000000" w:sz="4" w:space="0"/>
              <w:bottom w:val="single" w:color="000000" w:sz="4" w:space="0"/>
            </w:tcBorders>
            <w:tcW w:w="952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Плановые значения</w:t>
            </w:r>
            <w:r/>
          </w:p>
        </w:tc>
      </w:tr>
      <w:t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Всего по области</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45525,9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45292,3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47767,0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50519,6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53596,4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56959,5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60398,4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63954,0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67740,8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71730,2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76080,2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80779,8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Томск</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51878,1</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54183,4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57659,3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61077,3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64857,3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68622,9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74912,0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80478,4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87411,8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94637,5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102823,7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113017,0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37490,5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39952,8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42582,3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44632,0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46999,5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50712,6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54610,9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58695,7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63183,8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67892,3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73099,1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78844,7</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Стрежевой</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68270,6</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67920,3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71631,4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74563,7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77856,7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81436,6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84990,6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88574,0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92338,3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96233,5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100458,9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104981,4</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Кедровый</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49735,1</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49479,9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52183,4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55190,5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58551,8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62225,9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65982,6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69867,0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74003,9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78362,2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83114,4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88248,5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Асиновский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31990,8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31826,7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33863,6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36030,8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39345,7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42965,5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46918,3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51234,8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55948,4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61095,6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66716,4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72854,4</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Верхнекетский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39925,0</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39720,2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41890,4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44304,3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47002,6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49952,0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52967,7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56085,9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59406,9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62905,5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66720,3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70841,8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Зырянский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30128,4</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29920,4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31555,2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33373,5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35406,1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37717,8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40101,0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42552,8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45224,3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47976,9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50999,9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54309,5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Первомайский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30485,6</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30329,2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31986,3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33829,5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35889,9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38141,9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40444,7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42825,6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45361,4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48032,8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50945,7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54092,8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Тегульдетский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42399,3</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42181,8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44486,5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47050,0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49915,5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53047,7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56250,3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59561,8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63088,5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66804,0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70855,2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75232,1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Шегарский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31768,7</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31605,7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33332,6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35253,4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37400,4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39747,3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42146,9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44628,1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47270,6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50054,5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53090,0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56369,5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Бакчарский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39652,8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39449,4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41604,8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44002,3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46682,1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49611,4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52606,6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55703,6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59001,9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62476,6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66265,4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70358,8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Кожевниковский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32803,2</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36183,8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36423,4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37247,2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38017,1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40499,3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43058,2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45690,8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48559,4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51515,0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54760,9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58314,5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Колпашевский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47635,8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49009,0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50483,0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51969,0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54195,0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56796,0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59615,0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62059,0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63921,0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65966,0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67879,0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69522,0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Кривошеинский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40099,4</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39893,7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42073,4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44497,8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47207,9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50170,2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53199,1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56330,9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59666,4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63180,3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67011,7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71151,2</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Молчановский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42329,0</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42111,8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44412,7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46972,0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49832,8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52959,7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56157,1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59463,0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62983,9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66693,2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70737,7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75107,4</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Чаинский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42586,8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42368,3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44683,2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47258,1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50136,3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53282,3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56499,1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59825,2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63367,5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67099,4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71168,5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75564,8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Каргасокский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61460,6</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61145,3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64486,1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67621,4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71128,9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74948,6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78796,8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82725,1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86877,3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91210,4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95918,0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100975,9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Александровский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72326,9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71955,8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75887,3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79069,4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82640,2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86522,7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90384,9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94285,7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98386,6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102634,9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107243,8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112178,8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Парабельский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64253,5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69503,3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73300,8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77524,8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82246,3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87616,2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93152,3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98847,6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105053,4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111447,6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118469,8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126157,7</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14 - Протяженность автомобильных дорог общего</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пользования с твердым покрытием, км</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928"/>
        <w:gridCol w:w="1361"/>
        <w:gridCol w:w="1247"/>
        <w:gridCol w:w="850"/>
        <w:gridCol w:w="904"/>
        <w:gridCol w:w="904"/>
        <w:gridCol w:w="904"/>
        <w:gridCol w:w="904"/>
        <w:gridCol w:w="794"/>
        <w:gridCol w:w="1024"/>
        <w:gridCol w:w="907"/>
        <w:gridCol w:w="907"/>
        <w:gridCol w:w="964"/>
      </w:tblGrid>
      <w:tr>
        <w:trPr/>
        <w:tc>
          <w:tcPr>
            <w:tcBorders>
              <w:left w:val="single" w:color="000000" w:sz="4" w:space="0"/>
              <w:top w:val="single" w:color="000000" w:sz="4" w:space="0"/>
              <w:right w:val="single" w:color="000000" w:sz="4" w:space="0"/>
              <w:bottom w:val="single" w:color="000000" w:sz="4" w:space="0"/>
            </w:tcBorders>
            <w:tcW w:w="1928" w:type="dxa"/>
            <w:vAlign w:val="center"/>
            <w:vMerge w:val="restart"/>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Муниципальное образование</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Оценочное значение</w:t>
            </w:r>
            <w:r/>
          </w:p>
        </w:tc>
        <w:tc>
          <w:tcPr>
            <w:gridSpan w:val="10"/>
            <w:tcBorders>
              <w:left w:val="single" w:color="000000" w:sz="4" w:space="0"/>
              <w:top w:val="single" w:color="000000" w:sz="4" w:space="0"/>
              <w:right w:val="single" w:color="000000" w:sz="4" w:space="0"/>
              <w:bottom w:val="single" w:color="000000" w:sz="4" w:space="0"/>
            </w:tcBorders>
            <w:tcW w:w="9062"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Плановые значения</w:t>
            </w:r>
            <w:r/>
          </w:p>
        </w:tc>
      </w:tr>
      <w:t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2025</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Всего по области</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7519,40</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7519,4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7521,5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7521,5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7522,7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7522,7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7523,9</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7525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7527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7529</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7531</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7533</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Томск</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610,6</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610,6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612,7</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612,7</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612,7</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Стрежевой</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Кедровый</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Александровский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180</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180</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181,1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181,1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183,1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183,1</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183,1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Асиновский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378,3</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Бакчарский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281,4</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Верхнекетский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255,3</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Зырянский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Каргасокский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Кожевниковский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488,1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Колпашевский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635,3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635,3</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636,5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636,5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637,7</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637,7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637,7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637,7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637,7</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637,7</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Кривошеинский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328,1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Молчановский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220,4</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Парабельский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431,7</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Первомайский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435,3</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435,3</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435,3</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435,3</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437,3</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439,3</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Тегульдетский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249,2</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1287,4</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1287,4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1287,4</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1287,4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1289,4</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1289,4</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1289,4</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1289,4</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Чаинский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Шегарский район</w:t>
            </w:r>
            <w:r/>
          </w:p>
        </w:tc>
        <w:tc>
          <w:tcPr>
            <w:tcBorders>
              <w:left w:val="single" w:color="000000" w:sz="4" w:space="0"/>
              <w:top w:val="single" w:color="000000" w:sz="4" w:space="0"/>
              <w:right w:val="single" w:color="000000" w:sz="4" w:space="0"/>
              <w:bottom w:val="single" w:color="000000" w:sz="4" w:space="0"/>
            </w:tcBorders>
            <w:tcW w:w="1361"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c>
          <w:tcPr>
            <w:tcBorders>
              <w:left w:val="single" w:color="000000" w:sz="4" w:space="0"/>
              <w:top w:val="single" w:color="000000" w:sz="4" w:space="0"/>
              <w:right w:val="single" w:color="000000" w:sz="4" w:space="0"/>
              <w:bottom w:val="single" w:color="000000" w:sz="4" w:space="0"/>
            </w:tcBorders>
            <w:tcW w:w="96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542,2</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15 - Объем отгруженных товаров собственного</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производства, выполненных работ и услуг собственными силами</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 виду экономической деятельности "Обрабатывающие</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производства" - по крупным и средним организациям,</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млн рублей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995"/>
        <w:gridCol w:w="1077"/>
        <w:gridCol w:w="1077"/>
        <w:gridCol w:w="1024"/>
        <w:gridCol w:w="1024"/>
        <w:gridCol w:w="1024"/>
        <w:gridCol w:w="1024"/>
        <w:gridCol w:w="1024"/>
        <w:gridCol w:w="1024"/>
        <w:gridCol w:w="1024"/>
        <w:gridCol w:w="1024"/>
        <w:gridCol w:w="1024"/>
        <w:gridCol w:w="1024"/>
      </w:tblGrid>
      <w:tr>
        <w:trPr/>
        <w:tc>
          <w:tcPr>
            <w:tcBorders>
              <w:left w:val="single" w:color="000000" w:sz="4" w:space="0"/>
              <w:top w:val="single" w:color="000000" w:sz="4" w:space="0"/>
              <w:right w:val="single" w:color="000000" w:sz="4" w:space="0"/>
              <w:bottom w:val="single" w:color="000000" w:sz="4" w:space="0"/>
            </w:tcBorders>
            <w:tcW w:w="1995" w:type="dxa"/>
            <w:vAlign w:val="center"/>
            <w:vMerge w:val="restart"/>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Муниципальное образование</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Оценочное значение</w:t>
            </w:r>
            <w:r/>
          </w:p>
        </w:tc>
        <w:tc>
          <w:tcPr>
            <w:gridSpan w:val="10"/>
            <w:tcBorders>
              <w:left w:val="single" w:color="000000" w:sz="4" w:space="0"/>
              <w:top w:val="single" w:color="000000" w:sz="4" w:space="0"/>
              <w:right w:val="single" w:color="000000" w:sz="4" w:space="0"/>
              <w:bottom w:val="single" w:color="000000" w:sz="4" w:space="0"/>
            </w:tcBorders>
            <w:tcW w:w="1024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Плановые значения</w:t>
            </w:r>
            <w:r/>
          </w:p>
        </w:tc>
      </w:tr>
      <w:tr>
        <w:trPr/>
        <w:tc>
          <w:tcPr>
            <w:tcBorders>
              <w:left w:val="single" w:color="000000" w:sz="4" w:space="0"/>
              <w:top w:val="single" w:color="000000" w:sz="4" w:space="0"/>
              <w:right w:val="single" w:color="000000" w:sz="4" w:space="0"/>
              <w:bottom w:val="single" w:color="000000" w:sz="4" w:space="0"/>
            </w:tcBorders>
            <w:tcW w:w="1995"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Всего по области</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172929,0</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168029,6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172917,3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184781,4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197747,2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220041,1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243368,0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268122,6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295519,1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325916,7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359314,8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396202,4</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Томск</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108453,5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103385,0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106517,0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113825,3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121812,3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135545,3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149914,7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165163,5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182039,8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200764,7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221337,9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244060,7</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Стрежевой</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1576,2</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870,6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895,7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957,2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1024,3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1139,8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1260,6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1388,9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1530,8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1688,2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1861,3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2052,3</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10960,3</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11156,0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11412,5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12195,6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13051,3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14522,7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16062,3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17696,1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19504,3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21510,5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23714,8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26149,4</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Асиновский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2006,8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1810,4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1902,1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2032,6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2175,2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2420,5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2677,0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2949,3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3250,7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3585,1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3952,5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4358,2</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Бакчарский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230,0</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0,1309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226,3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241,9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258,9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288,0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318,6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351,0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386,8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426,6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470,3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518,6</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Верхнекетский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3060,0</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3386,4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3458,3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3695,6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3954,9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4400,8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4867,4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5362,5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5910,4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6518,3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7186,3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7924,0</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Зырянский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674,9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635,4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653,6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698,5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747,5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831,8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919,9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1013,5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1117,1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1232,0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1358,2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1497,6</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Первомайский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125,4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138,7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152,8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168,4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185,8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204,8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225,8</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Тегульдетский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7,9</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Шегарский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Кожевниковский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259,8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366,0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377,0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402,8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431,1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479,7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530,5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584,5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644,2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710,5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783,3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863,7</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Колпашевский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1516,2</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1574,2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1620,2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1731,4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1852,9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2061,8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2280,4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2512,3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2769,0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3053,8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3366,8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3712,4</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Кривошеинский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9,5</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Молчановский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7,9</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Каргасокский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22859,0</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20254,2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20843,4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22273,5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23836,4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26523,7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29335,6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32319,5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35621,9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39286,0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43311,8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47758,2</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Александровский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5920,3</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5778,800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5946,6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6354,6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6800,5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7567,2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8369,4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9220,7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10162,9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11208,3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12356,8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13625,4</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Парабельский район</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3429,4</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3049,600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3138,4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3353,8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3589,1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3993,7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4417,1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4866,4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5363,7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5915,4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6521,6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7191,1</w:t>
            </w:r>
            <w:r/>
          </w:p>
        </w:tc>
      </w:tr>
      <w:tr>
        <w:trPr/>
        <w:tc>
          <w:tcPr>
            <w:tcBorders>
              <w:left w:val="single" w:color="000000" w:sz="4" w:space="0"/>
              <w:top w:val="single" w:color="000000" w:sz="4" w:space="0"/>
              <w:right w:val="single" w:color="000000" w:sz="4" w:space="0"/>
              <w:bottom w:val="single" w:color="000000" w:sz="4" w:space="0"/>
            </w:tcBorders>
            <w:tcW w:w="1995"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Кедровый</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7,7</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20,6</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16 - Объем продукции сельского хозяйства, млн рублей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2324"/>
        <w:gridCol w:w="1134"/>
        <w:gridCol w:w="1077"/>
        <w:gridCol w:w="904"/>
        <w:gridCol w:w="904"/>
        <w:gridCol w:w="904"/>
        <w:gridCol w:w="904"/>
        <w:gridCol w:w="904"/>
        <w:gridCol w:w="904"/>
        <w:gridCol w:w="904"/>
        <w:gridCol w:w="904"/>
        <w:gridCol w:w="904"/>
        <w:gridCol w:w="904"/>
      </w:tblGrid>
      <w:tr>
        <w:trPr/>
        <w:tc>
          <w:tcPr>
            <w:tcBorders>
              <w:left w:val="single" w:color="000000" w:sz="4" w:space="0"/>
              <w:top w:val="single" w:color="000000" w:sz="4" w:space="0"/>
              <w:right w:val="single" w:color="000000" w:sz="4" w:space="0"/>
              <w:bottom w:val="single" w:color="000000" w:sz="4" w:space="0"/>
            </w:tcBorders>
            <w:tcW w:w="2324" w:type="dxa"/>
            <w:vAlign w:val="center"/>
            <w:vMerge w:val="restart"/>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Муниципальное образование</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Оценочное значение</w:t>
            </w:r>
            <w:r/>
          </w:p>
        </w:tc>
        <w:tc>
          <w:tcPr>
            <w:gridSpan w:val="10"/>
            <w:tcBorders>
              <w:left w:val="single" w:color="000000" w:sz="4" w:space="0"/>
              <w:top w:val="single" w:color="000000" w:sz="4" w:space="0"/>
              <w:right w:val="single" w:color="000000" w:sz="4" w:space="0"/>
              <w:bottom w:val="single" w:color="000000" w:sz="4" w:space="0"/>
            </w:tcBorders>
            <w:tcW w:w="904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Плановые значения</w:t>
            </w:r>
            <w:r/>
          </w:p>
        </w:tc>
      </w:tr>
      <w:tr>
        <w:trPr/>
        <w:tc>
          <w:tcPr>
            <w:tcBorders>
              <w:left w:val="single" w:color="000000" w:sz="4" w:space="0"/>
              <w:top w:val="single" w:color="000000" w:sz="4" w:space="0"/>
              <w:right w:val="single" w:color="000000" w:sz="4" w:space="0"/>
              <w:bottom w:val="single" w:color="000000" w:sz="4" w:space="0"/>
            </w:tcBorders>
            <w:tcW w:w="2324"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Всего по области</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30422,2</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33254,2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33854,1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35308,2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37041,4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39489,1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41947,1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44364,9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47059,7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49982,9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53107,3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56525,6</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Томск</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494,5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550,3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573,9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602,1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641,9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681,8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721,1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764,9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812,5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863,2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918,8</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17086,7</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18677,3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19014,2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19830,9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20804,4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22179,2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23559,7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24917,7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26431,2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28073,0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29827,9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31747,8</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Асиновский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1353, 8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1479,8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1506,5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1571,2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1648,4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1757,3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1866,7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1974,3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2094,2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2224,3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2363,3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2515,4</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Верхнекетский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206,2</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225,4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229,5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239,3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251,1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267,7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284,3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300,7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319,0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338,8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360,0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383,1</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Зырянский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1358,5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1485,0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1511,8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1576,7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1654,1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1763,4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1873,1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1981,1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2101,4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2232,0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2371,5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2524,1</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Первомайский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1093,9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1195,7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1217,3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1269,6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1331,9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1419,9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1508,3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1595,2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1692,1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1797,2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1909,6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2032,5</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Тегульдетский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198,5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217,0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220,9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230,4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241,7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257,7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273,7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289,5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307,1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326,1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346,5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368,8</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Шегарский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1361,9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1488,7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1515,5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1580,6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1658,2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1767,8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1877,8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1986,1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2106,7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2237,6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2377,4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2530,5</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Бакчарский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452,1</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494,2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503,1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524,7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550,5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586,8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623,4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659,3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699,3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742,8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789,2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840,0</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Кожевниковский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3298,1</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3605,1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3670,2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3827,8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4015,7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4281,1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4547,5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4809,6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5101,8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5418,7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5757,4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6128,0</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Колпашевский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448,5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490,3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499,1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546,1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618,4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654,1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693,8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736,9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833,3</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Кривошеинский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1041,1</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1138,0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1158,5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1267,6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1351,4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1435,5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1518,2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1610,5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1710,5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1817,4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1934,4</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Молчановский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450,7</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523,1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548,8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585,0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621,4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697,2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786,8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837,4</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Чаинский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558,8</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610,8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621,8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648,5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680,4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725,3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770,5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814,9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864,4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975,5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1038,3</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Каргасокский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285,4</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317,6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331,2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347,5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393,5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416,2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468,9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498,2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530,3</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Александровский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80,6</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89,7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93,5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117,5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124,7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140,7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149,8</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Парабельский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214,9</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234,9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239,1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261,7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278,9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296,3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313,4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353,1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375,1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399,3</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Стрежевой</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196,4</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214,7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218,6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227,9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239,1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254,9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270,8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286,4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303,8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322,7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364,9</w:t>
            </w:r>
            <w:r/>
          </w:p>
        </w:tc>
      </w:tr>
      <w:tr>
        <w:trPr/>
        <w:tc>
          <w:tcPr>
            <w:tcBorders>
              <w:left w:val="single" w:color="000000" w:sz="4" w:space="0"/>
              <w:top w:val="single" w:color="000000" w:sz="4" w:space="0"/>
              <w:right w:val="single" w:color="000000" w:sz="4" w:space="0"/>
              <w:bottom w:val="single" w:color="000000" w:sz="4" w:space="0"/>
            </w:tcBorders>
            <w:tcW w:w="2324" w:type="dxa"/>
            <w:vAlign w:val="center"/>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Кедровый</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52,5</w:t>
            </w:r>
            <w:r/>
          </w:p>
        </w:tc>
        <w:tc>
          <w:tcPr>
            <w:tcBorders>
              <w:left w:val="single" w:color="000000" w:sz="4" w:space="0"/>
              <w:top w:val="single" w:color="000000" w:sz="4" w:space="0"/>
              <w:right w:val="single" w:color="000000" w:sz="4" w:space="0"/>
              <w:bottom w:val="single" w:color="000000" w:sz="4" w:space="0"/>
            </w:tcBorders>
            <w:tcW w:w="107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60,9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63,9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76,6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81,2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97,5</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17 - Объем отгруженных товаров собственного</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производства, выполненных работ и услуг собственными силами</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по виду экономической деятельности "Добыча полезных</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ископаемых", млн рублей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984"/>
        <w:gridCol w:w="1134"/>
        <w:gridCol w:w="1134"/>
        <w:gridCol w:w="1024"/>
        <w:gridCol w:w="1024"/>
        <w:gridCol w:w="1024"/>
        <w:gridCol w:w="1024"/>
        <w:gridCol w:w="1024"/>
        <w:gridCol w:w="1024"/>
        <w:gridCol w:w="1024"/>
        <w:gridCol w:w="1024"/>
        <w:gridCol w:w="1024"/>
        <w:gridCol w:w="1024"/>
      </w:tblGrid>
      <w:tr>
        <w:trPr/>
        <w:tc>
          <w:tcPr>
            <w:tcBorders>
              <w:left w:val="single" w:color="000000" w:sz="4" w:space="0"/>
              <w:top w:val="single" w:color="000000" w:sz="4" w:space="0"/>
              <w:right w:val="single" w:color="000000" w:sz="4" w:space="0"/>
              <w:bottom w:val="single" w:color="000000" w:sz="4" w:space="0"/>
            </w:tcBorders>
            <w:tcW w:w="1984" w:type="dxa"/>
            <w:vAlign w:val="center"/>
            <w:vMerge w:val="restart"/>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Муниципальное образование</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Оценочное значение</w:t>
            </w:r>
            <w:r/>
          </w:p>
        </w:tc>
        <w:tc>
          <w:tcPr>
            <w:gridSpan w:val="10"/>
            <w:tcBorders>
              <w:left w:val="single" w:color="000000" w:sz="4" w:space="0"/>
              <w:top w:val="single" w:color="000000" w:sz="4" w:space="0"/>
              <w:right w:val="single" w:color="000000" w:sz="4" w:space="0"/>
              <w:bottom w:val="single" w:color="000000" w:sz="4" w:space="0"/>
            </w:tcBorders>
            <w:tcW w:w="1024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Плановые значения</w:t>
            </w:r>
            <w:r/>
          </w:p>
        </w:tc>
      </w:tr>
      <w:tr>
        <w:trPr/>
        <w:tc>
          <w:tcPr>
            <w:tcBorders>
              <w:left w:val="single" w:color="000000" w:sz="4" w:space="0"/>
              <w:top w:val="single" w:color="000000" w:sz="4" w:space="0"/>
              <w:right w:val="single" w:color="000000" w:sz="4" w:space="0"/>
              <w:bottom w:val="single" w:color="000000" w:sz="4" w:space="0"/>
            </w:tcBorders>
            <w:tcW w:w="1984"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w:t>
            </w:r>
            <w:r/>
          </w:p>
        </w:tc>
      </w:tr>
      <w:tr>
        <w:trPr/>
        <w:tc>
          <w:tcPr>
            <w:tcBorders>
              <w:left w:val="single" w:color="000000" w:sz="4" w:space="0"/>
              <w:top w:val="single" w:color="000000" w:sz="4" w:space="0"/>
              <w:right w:val="single" w:color="000000" w:sz="4" w:space="0"/>
              <w:bottom w:val="single" w:color="000000" w:sz="4" w:space="0"/>
            </w:tcBorders>
            <w:tcW w:w="19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Всего по области</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189901,7</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111802,4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169404,8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176191,3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183527,2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193553,6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204119,9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214205,5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225655,5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237503,4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249704,6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263695,4</w:t>
            </w:r>
            <w:r/>
          </w:p>
        </w:tc>
      </w:tr>
      <w:tr>
        <w:trPr/>
        <w:tc>
          <w:tcPr>
            <w:tcBorders>
              <w:left w:val="single" w:color="000000" w:sz="4" w:space="0"/>
              <w:top w:val="single" w:color="000000" w:sz="4" w:space="0"/>
              <w:right w:val="single" w:color="000000" w:sz="4" w:space="0"/>
              <w:bottom w:val="single" w:color="000000" w:sz="4" w:space="0"/>
            </w:tcBorders>
            <w:tcW w:w="19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Каргасокский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93332,7</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47585,7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72166,4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75057,5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78182,6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82453,8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86955,1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91251,6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96129,2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101176,5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106374,2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112334,2</w:t>
            </w:r>
            <w:r/>
          </w:p>
        </w:tc>
      </w:tr>
      <w:tr>
        <w:trPr/>
        <w:tc>
          <w:tcPr>
            <w:tcBorders>
              <w:left w:val="single" w:color="000000" w:sz="4" w:space="0"/>
              <w:top w:val="single" w:color="000000" w:sz="4" w:space="0"/>
              <w:right w:val="single" w:color="000000" w:sz="4" w:space="0"/>
              <w:bottom w:val="single" w:color="000000" w:sz="4" w:space="0"/>
            </w:tcBorders>
            <w:tcW w:w="19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Парабельский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65639,2</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44077,7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66745,5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69419,4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72309,7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76260,1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80423,3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84397,0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88908,3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93576,4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98383,6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103896,0</w:t>
            </w:r>
            <w:r/>
          </w:p>
        </w:tc>
      </w:tr>
      <w:tr>
        <w:trPr/>
        <w:tc>
          <w:tcPr>
            <w:tcBorders>
              <w:left w:val="single" w:color="000000" w:sz="4" w:space="0"/>
              <w:top w:val="single" w:color="000000" w:sz="4" w:space="0"/>
              <w:right w:val="single" w:color="000000" w:sz="4" w:space="0"/>
              <w:bottom w:val="single" w:color="000000" w:sz="4" w:space="0"/>
            </w:tcBorders>
            <w:tcW w:w="19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Александровский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26135,5</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14451,0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21853,2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22728,7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23675,0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24968,4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26331,5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27632,5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29109,6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30637,9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32211,9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34016,7</w:t>
            </w:r>
            <w:r/>
          </w:p>
        </w:tc>
      </w:tr>
      <w:tr>
        <w:trPr/>
        <w:tc>
          <w:tcPr>
            <w:tcBorders>
              <w:left w:val="single" w:color="000000" w:sz="4" w:space="0"/>
              <w:top w:val="single" w:color="000000" w:sz="4" w:space="0"/>
              <w:right w:val="single" w:color="000000" w:sz="4" w:space="0"/>
              <w:bottom w:val="single" w:color="000000" w:sz="4" w:space="0"/>
            </w:tcBorders>
            <w:tcW w:w="19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Томск</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1957,6</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3214,6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4870,4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5065,5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5276,4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5564,7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5868,4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6158,4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6487,6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6828,2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7179,0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7581,2</w:t>
            </w:r>
            <w:r/>
          </w:p>
        </w:tc>
      </w:tr>
      <w:tr>
        <w:trPr/>
        <w:tc>
          <w:tcPr>
            <w:tcBorders>
              <w:left w:val="single" w:color="000000" w:sz="4" w:space="0"/>
              <w:top w:val="single" w:color="000000" w:sz="4" w:space="0"/>
              <w:right w:val="single" w:color="000000" w:sz="4" w:space="0"/>
              <w:bottom w:val="single" w:color="000000" w:sz="4" w:space="0"/>
            </w:tcBorders>
            <w:tcW w:w="19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Стрежевой</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2698,8</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2297,1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3479,6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3619,0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3769,6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3975,6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4192,6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4399,8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4635,0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4878,3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5128,9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5416,3</w:t>
            </w:r>
            <w:r/>
          </w:p>
        </w:tc>
      </w:tr>
      <w:tr>
        <w:trPr/>
        <w:tc>
          <w:tcPr>
            <w:tcBorders>
              <w:left w:val="single" w:color="000000" w:sz="4" w:space="0"/>
              <w:top w:val="single" w:color="000000" w:sz="4" w:space="0"/>
              <w:right w:val="single" w:color="000000" w:sz="4" w:space="0"/>
              <w:bottom w:val="single" w:color="000000" w:sz="4" w:space="0"/>
            </w:tcBorders>
            <w:tcW w:w="1984"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Томский район</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137,9</w:t>
            </w:r>
            <w:r/>
          </w:p>
        </w:tc>
        <w:tc>
          <w:tcPr>
            <w:tcBorders>
              <w:left w:val="single" w:color="000000" w:sz="4" w:space="0"/>
              <w:top w:val="single" w:color="000000" w:sz="4" w:space="0"/>
              <w:right w:val="single" w:color="000000" w:sz="4" w:space="0"/>
              <w:bottom w:val="single" w:color="000000" w:sz="4" w:space="0"/>
            </w:tcBorders>
            <w:tcW w:w="113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176,3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289,7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301,3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313,8</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331,0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349,0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366,3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385,9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406,1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427,0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450,9</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Таблица 18 - Объем поступлений налогов на совокупный доход</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 консолидированный бюджет Томской области с территорий</w:t>
      </w:r>
      <w:r/>
    </w:p>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муниципальных образований, млн рублей</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bl>
      <w:tblPr>
        <w:tblStyle w:val="807"/>
        <w:tblW w:w="0" w:type="auto"/>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fixed"/>
        <w:tblCellMar>
          <w:left w:w="62" w:type="dxa"/>
          <w:top w:w="102" w:type="dxa"/>
          <w:right w:w="62" w:type="dxa"/>
          <w:bottom w:w="102" w:type="dxa"/>
        </w:tblCellMar>
        <w:tblLook w:val="04A0" w:firstRow="1" w:lastRow="0" w:firstColumn="1" w:lastColumn="0" w:noHBand="0" w:noVBand="1"/>
      </w:tblPr>
      <w:tblGrid>
        <w:gridCol w:w="1928"/>
        <w:gridCol w:w="1417"/>
        <w:gridCol w:w="1247"/>
        <w:gridCol w:w="904"/>
        <w:gridCol w:w="904"/>
        <w:gridCol w:w="904"/>
        <w:gridCol w:w="904"/>
        <w:gridCol w:w="794"/>
        <w:gridCol w:w="904"/>
        <w:gridCol w:w="1024"/>
        <w:gridCol w:w="907"/>
        <w:gridCol w:w="850"/>
        <w:gridCol w:w="907"/>
      </w:tblGrid>
      <w:tr>
        <w:trPr/>
        <w:tc>
          <w:tcPr>
            <w:tcBorders>
              <w:left w:val="single" w:color="000000" w:sz="4" w:space="0"/>
              <w:top w:val="single" w:color="000000" w:sz="4" w:space="0"/>
              <w:right w:val="single" w:color="000000" w:sz="4" w:space="0"/>
              <w:bottom w:val="single" w:color="000000" w:sz="4" w:space="0"/>
            </w:tcBorders>
            <w:tcW w:w="1928" w:type="dxa"/>
            <w:vAlign w:val="center"/>
            <w:vMerge w:val="restart"/>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Муниципальное образование</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Фактическое значение</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Оценочное значение</w:t>
            </w:r>
            <w:r/>
          </w:p>
        </w:tc>
        <w:tc>
          <w:tcPr>
            <w:gridSpan w:val="10"/>
            <w:tcBorders>
              <w:left w:val="single" w:color="000000" w:sz="4" w:space="0"/>
              <w:top w:val="single" w:color="000000" w:sz="4" w:space="0"/>
              <w:right w:val="single" w:color="000000" w:sz="4" w:space="0"/>
              <w:bottom w:val="single" w:color="000000" w:sz="4" w:space="0"/>
            </w:tcBorders>
            <w:tcW w:w="9002"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Плановые значения</w:t>
            </w:r>
            <w:r/>
          </w:p>
        </w:tc>
      </w:tr>
      <w:tr>
        <w:trPr/>
        <w:tc>
          <w:tcPr>
            <w:tcBorders>
              <w:left w:val="single" w:color="000000" w:sz="4" w:space="0"/>
              <w:top w:val="single" w:color="000000" w:sz="4" w:space="0"/>
              <w:right w:val="single" w:color="000000" w:sz="4" w:space="0"/>
              <w:bottom w:val="single" w:color="000000" w:sz="4" w:space="0"/>
            </w:tcBorders>
            <w:tcW w:w="1928" w:type="dxa"/>
            <w:vAlign w:val="top"/>
            <w:vMerge w:val="continue"/>
            <w:textDirection w:val="lrTb"/>
            <w:noWrap w:val="false"/>
          </w:tcPr>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2024</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2028</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2029</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2030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Консолидированный бюджет</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3423,5</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3595,8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3732,4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3870,5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4021,5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4174,3</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4328,8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4493,3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4659,5</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4831,9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5010,7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5196,1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Итого по МО</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3423,3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3595,8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3732,4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3870,5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4021,5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4174,3</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4328,8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4493,3</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4659,5</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4831,9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5010,7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5196,1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Томск</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2615,2</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2750,0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2854,5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2960,1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3075,6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3192,4</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3310,6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3436,4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3563,5</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3695,3</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3832,1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3973,9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Стрежевой</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88,9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105,2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117,7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122,1</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126,6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131,5</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136,3</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141,4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146,6</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152,0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Город Кедровый</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7,2</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Александровский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12,7</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13,6</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Асиновский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62,1</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64,0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66,4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68,9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71,6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74,3</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77,0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80,0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82,9</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89,2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92,5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Бакчарский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18,5</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20,6</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Верхнекетский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30,5</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32,9</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35,3</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36,6</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Зырянский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17,0</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21,7</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Каргасокский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32,7</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34,2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38,2</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39,6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41,1</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42,6</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47,5</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Кожевниковский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14,8</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21,7</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Колпашевский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43,9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42,4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44,0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45,6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49,2</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51,0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53,0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54,9</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57,0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59,1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61,3</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Кривошеинский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11,7</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12,5</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Молчановский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11,1</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12,4</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12,9</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13,4</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13,9</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Парабельский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19,9</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19,9</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23,0</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24,7</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Первомайский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26,0</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27,0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29,1</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31,4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32,5</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33,7</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35,0</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36,3</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Тегульдетский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7,8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8,1</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9,1</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9,4</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10,1</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Томский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154,3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184,6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191,6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198,7</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206,5</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214,3</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222,2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230,7</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239,2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248,1</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257,2</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266,8</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Чаинский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8,3</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8,6</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8,9</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9,3</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9,6</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10,0</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10,4</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10,8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11,2</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11,6</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12,0</w:t>
            </w:r>
            <w:r/>
          </w:p>
        </w:tc>
      </w:tr>
      <w:tr>
        <w:trPr/>
        <w:tc>
          <w:tcPr>
            <w:tcBorders>
              <w:left w:val="single" w:color="000000" w:sz="4" w:space="0"/>
              <w:top w:val="single" w:color="000000" w:sz="4" w:space="0"/>
              <w:right w:val="single" w:color="000000" w:sz="4" w:space="0"/>
              <w:bottom w:val="single" w:color="000000" w:sz="4" w:space="0"/>
            </w:tcBorders>
            <w:tcW w:w="1928" w:type="dxa"/>
            <w:vAlign w:val="center"/>
            <w:textDirection w:val="lrTb"/>
            <w:noWrap w:val="false"/>
          </w:tcPr>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Шегарский район</w:t>
            </w:r>
            <w:r/>
          </w:p>
        </w:tc>
        <w:tc>
          <w:tcPr>
            <w:tcBorders>
              <w:left w:val="single" w:color="000000" w:sz="4" w:space="0"/>
              <w:top w:val="single" w:color="000000" w:sz="4" w:space="0"/>
              <w:right w:val="single" w:color="000000" w:sz="4" w:space="0"/>
              <w:bottom w:val="single" w:color="000000" w:sz="4" w:space="0"/>
            </w:tcBorders>
            <w:tcW w:w="141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17,2</w:t>
            </w:r>
            <w:r/>
          </w:p>
        </w:tc>
        <w:tc>
          <w:tcPr>
            <w:tcBorders>
              <w:left w:val="single" w:color="000000" w:sz="4" w:space="0"/>
              <w:top w:val="single" w:color="000000" w:sz="4" w:space="0"/>
              <w:right w:val="single" w:color="000000" w:sz="4" w:space="0"/>
              <w:bottom w:val="single" w:color="000000" w:sz="4" w:space="0"/>
            </w:tcBorders>
            <w:tcW w:w="124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16,8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17,4</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18,1</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18,8</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19,5</w:t>
            </w:r>
            <w:r/>
          </w:p>
        </w:tc>
        <w:tc>
          <w:tcPr>
            <w:tcBorders>
              <w:left w:val="single" w:color="000000" w:sz="4" w:space="0"/>
              <w:top w:val="single" w:color="000000" w:sz="4" w:space="0"/>
              <w:right w:val="single" w:color="000000" w:sz="4" w:space="0"/>
              <w:bottom w:val="single" w:color="000000" w:sz="4" w:space="0"/>
            </w:tcBorders>
            <w:tcW w:w="79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20,2</w:t>
            </w:r>
            <w:r/>
          </w:p>
        </w:tc>
        <w:tc>
          <w:tcPr>
            <w:tcBorders>
              <w:left w:val="single" w:color="000000" w:sz="4" w:space="0"/>
              <w:top w:val="single" w:color="000000" w:sz="4" w:space="0"/>
              <w:right w:val="single" w:color="000000" w:sz="4" w:space="0"/>
              <w:bottom w:val="single" w:color="000000" w:sz="4" w:space="0"/>
            </w:tcBorders>
            <w:tcW w:w="90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21,0</w:t>
            </w:r>
            <w:r/>
          </w:p>
        </w:tc>
        <w:tc>
          <w:tcPr>
            <w:tcBorders>
              <w:left w:val="single" w:color="000000" w:sz="4" w:space="0"/>
              <w:top w:val="single" w:color="000000" w:sz="4" w:space="0"/>
              <w:right w:val="single" w:color="000000" w:sz="4" w:space="0"/>
              <w:bottom w:val="single" w:color="000000" w:sz="4" w:space="0"/>
            </w:tcBorders>
            <w:tcW w:w="1024"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21,8</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22,6</w:t>
            </w:r>
            <w:r/>
          </w:p>
        </w:tc>
        <w:tc>
          <w:tcPr>
            <w:tcBorders>
              <w:left w:val="single" w:color="000000" w:sz="4" w:space="0"/>
              <w:top w:val="single" w:color="000000" w:sz="4" w:space="0"/>
              <w:right w:val="single" w:color="000000" w:sz="4" w:space="0"/>
              <w:bottom w:val="single" w:color="000000" w:sz="4" w:space="0"/>
            </w:tcBorders>
            <w:tcW w:w="850"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23,4</w:t>
            </w:r>
            <w:r/>
          </w:p>
        </w:tc>
        <w:tc>
          <w:tcPr>
            <w:tcBorders>
              <w:left w:val="single" w:color="000000" w:sz="4" w:space="0"/>
              <w:top w:val="single" w:color="000000" w:sz="4" w:space="0"/>
              <w:right w:val="single" w:color="000000" w:sz="4" w:space="0"/>
              <w:bottom w:val="single" w:color="000000" w:sz="4" w:space="0"/>
            </w:tcBorders>
            <w:tcW w:w="907" w:type="dxa"/>
            <w:vAlign w:val="center"/>
            <w:textDirection w:val="lrTb"/>
            <w:noWrap w:val="false"/>
          </w:tcPr>
          <w:p>
            <w:pPr>
              <w:pStyle w:val="808"/>
              <w:ind w:left="0" w:right="0" w:firstLine="0"/>
              <w:jc w:val="center"/>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24,3</w:t>
            </w:r>
            <w:r/>
          </w:p>
        </w:tc>
      </w:tr>
    </w:tbl>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sectPr>
          <w:footnotePr>
            <w:pos w:val="pageBottom"/>
          </w:footnotePr>
          <w:endnotePr/>
          <w:type w:val="nextPage"/>
          <w:pgSz w:w="16838" w:h="11906" w:orient="landscape"/>
          <w:pgMar w:top="1133" w:right="1440" w:bottom="566" w:left="1440" w:header="0" w:footer="0" w:gutter="0"/>
          <w:cols w:num="1" w:sep="0" w:space="720" w:equalWidth="1"/>
          <w:docGrid w:linePitch="360"/>
        </w:sectPr>
      </w:pPr>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right"/>
        <w:spacing w:lineRule="auto" w:line="240" w:after="0" w:before="0"/>
        <w:rPr>
          <w:rFonts w:ascii="Arial" w:hAnsi="Arial" w:cs="Arial" w:eastAsia="Arial"/>
          <w:sz w:val="20"/>
          <w:szCs w:val="20"/>
          <w:lang w:val="ru-RU" w:bidi="ru-RU"/>
        </w:rPr>
        <w:outlineLvl w:val="1"/>
      </w:pPr>
      <w:r>
        <w:rPr>
          <w:rFonts w:ascii="Arial" w:hAnsi="Arial" w:cs="Arial" w:eastAsia="Arial"/>
          <w:sz w:val="20"/>
          <w:szCs w:val="20"/>
          <w:lang w:val="ru-RU" w:bidi="ru-RU"/>
        </w:rPr>
        <w:t xml:space="preserve">Приложение 2</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10"/>
        <w:ind w:left="0" w:right="0" w:firstLine="0"/>
        <w:jc w:val="center"/>
        <w:spacing w:lineRule="auto" w:line="240" w:after="0" w:before="0"/>
        <w:rPr>
          <w:rFonts w:ascii="Arial" w:hAnsi="Arial" w:cs="Arial" w:eastAsia="Arial"/>
          <w:b/>
          <w:bCs/>
          <w:sz w:val="20"/>
          <w:szCs w:val="20"/>
          <w:lang w:val="ru-RU" w:bidi="ru-RU"/>
        </w:rPr>
      </w:pPr>
      <w:r/>
      <w:bookmarkStart w:id="5" w:name="Par4993"/>
      <w:r/>
      <w:bookmarkEnd w:id="5"/>
      <w:r>
        <w:rPr>
          <w:rFonts w:ascii="Arial" w:hAnsi="Arial" w:cs="Arial" w:eastAsia="Arial"/>
          <w:b/>
          <w:bCs/>
          <w:sz w:val="20"/>
          <w:szCs w:val="20"/>
          <w:lang w:val="ru-RU" w:bidi="ru-RU"/>
        </w:rPr>
        <w:t xml:space="preserve">ИНФОРМАЦИЯ</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О ГОСУДАРСТВЕННЫХ ПРОГРАММАХ ТОМСКОЙ ОБЛАСТИ,</w:t>
      </w:r>
      <w:r/>
    </w:p>
    <w:p>
      <w:pPr>
        <w:pStyle w:val="810"/>
        <w:ind w:left="0" w:right="0" w:firstLine="0"/>
        <w:jc w:val="center"/>
        <w:spacing w:lineRule="auto" w:line="240" w:after="0" w:before="0"/>
        <w:rPr>
          <w:rFonts w:ascii="Arial" w:hAnsi="Arial" w:cs="Arial" w:eastAsia="Arial"/>
          <w:b/>
          <w:bCs/>
          <w:sz w:val="20"/>
          <w:szCs w:val="20"/>
          <w:lang w:val="ru-RU" w:bidi="ru-RU"/>
        </w:rPr>
      </w:pPr>
      <w:r>
        <w:rPr>
          <w:rFonts w:ascii="Arial" w:hAnsi="Arial" w:cs="Arial" w:eastAsia="Arial"/>
          <w:b/>
          <w:bCs/>
          <w:sz w:val="20"/>
          <w:szCs w:val="20"/>
          <w:lang w:val="ru-RU" w:bidi="ru-RU"/>
        </w:rPr>
        <w:t xml:space="preserve">УТВЕРЖДАЕМЫХ В ЦЕЛЯХ РЕАЛИЗАЦИИ СТРАТЕГИИ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54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t xml:space="preserve">Цель 1. 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 будет реализована посредством государственных программ, направленных на создание условий для развития передовых производств, научно-образовательного комплекса, улучшения инвестиционного климата и ведения предпринимательской деятельности.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Реализация мероприятий по развитию промышленности в Томской области будет продолжаться в рамках государственных программ, направленных на обеспечение эффективного недропользования, а также созд</w:t>
      </w:r>
      <w:r>
        <w:rPr>
          <w:rFonts w:ascii="Arial" w:hAnsi="Arial" w:cs="Arial" w:eastAsia="Arial"/>
          <w:sz w:val="20"/>
          <w:szCs w:val="20"/>
          <w:lang w:val="ru-RU" w:bidi="ru-RU"/>
        </w:rPr>
        <w:t xml:space="preserve">ание благоприятных условий для формирования конкурентоспособного, экономически устойчивого промышленного комплекса Томской области по основным существующим видам промышленности региона (производство оборудования, добыча нефти и газа, химическая и лесная пр</w:t>
      </w:r>
      <w:r>
        <w:rPr>
          <w:rFonts w:ascii="Arial" w:hAnsi="Arial" w:cs="Arial" w:eastAsia="Arial"/>
          <w:sz w:val="20"/>
          <w:szCs w:val="20"/>
          <w:lang w:val="ru-RU" w:bidi="ru-RU"/>
        </w:rPr>
        <w:t xml:space="preserve">омышленность). Необходимо формирование условий для комплексной модернизации базового сектора "ТЭК мирового уровня", развития кластеров глубокой переработки ресурсов, в том числе экспортно ориентированных (кластера в сфере малотоннажной химии, нефтехимии и </w:t>
      </w:r>
      <w:r>
        <w:rPr>
          <w:rFonts w:ascii="Arial" w:hAnsi="Arial" w:cs="Arial" w:eastAsia="Arial"/>
          <w:sz w:val="20"/>
          <w:szCs w:val="20"/>
          <w:lang w:val="ru-RU" w:bidi="ru-RU"/>
        </w:rPr>
        <w:t xml:space="preserve">фторидных технологий, лесопромышленного комплекса региона с учетом создания кластерных проектов по производству конечной экспортно ориентированной продукции из древесины, сектора органических и функциональных продуктов питания (производство пищевых продукт</w:t>
      </w:r>
      <w:r>
        <w:rPr>
          <w:rFonts w:ascii="Arial" w:hAnsi="Arial" w:cs="Arial" w:eastAsia="Arial"/>
          <w:sz w:val="20"/>
          <w:szCs w:val="20"/>
          <w:lang w:val="ru-RU" w:bidi="ru-RU"/>
        </w:rPr>
        <w:t xml:space="preserve">ов)), развития отраслей новой экономики и новых промышленных рынков (новые промышленные кластеры в сфере высокотехнологичного инжиниринга, микро- и наноэлектроники, точного машиностроения и производства передового оборудования, кластер ядерных 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улучшения ведения предпринимательской деятельности будут</w:t>
      </w:r>
      <w:r>
        <w:rPr>
          <w:rFonts w:ascii="Arial" w:hAnsi="Arial" w:cs="Arial" w:eastAsia="Arial"/>
          <w:sz w:val="20"/>
          <w:szCs w:val="20"/>
          <w:lang w:val="ru-RU" w:bidi="ru-RU"/>
        </w:rPr>
        <w:t xml:space="preserve"> созданы условия для запуска стратегической инициативы "Томская область - регион твоих возможностей" - развития предпринимательских сообществ, прежде всего инновационных и технологических, увеличения численности занятых в сфере малого и среднего предприним</w:t>
      </w:r>
      <w:r>
        <w:rPr>
          <w:rFonts w:ascii="Arial" w:hAnsi="Arial" w:cs="Arial" w:eastAsia="Arial"/>
          <w:sz w:val="20"/>
          <w:szCs w:val="20"/>
          <w:lang w:val="ru-RU" w:bidi="ru-RU"/>
        </w:rPr>
        <w:t xml:space="preserve">ательства; развития индустрии гостеприимства и создания современного креативного кластера (развития туристской инфраструктуры, повышения качества и доступности услуг в отрасли туризма, а также их продвижения на российский и международный туристский рынок).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Основным направлением развития научно-образовательного комплекса Томской области является повышение результативности деятельности организаций научно-образовательного комплекса и инновационного сектора, отработки форматов кооперации</w:t>
      </w:r>
      <w:r>
        <w:rPr>
          <w:rFonts w:ascii="Arial" w:hAnsi="Arial" w:cs="Arial" w:eastAsia="Arial"/>
          <w:sz w:val="20"/>
          <w:szCs w:val="20"/>
          <w:lang w:val="ru-RU" w:bidi="ru-RU"/>
        </w:rPr>
        <w:t xml:space="preserve"> организаций реального сектора экономики, образовательных организаций высшего образования и научных организаций, в том числе в рамках создания Научно-образовательного центра мирового уровня, создания новых кластеров на стыке глубоких и цифровых технологий.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Необходима реализация комплекса мер по антикризисной стаби</w:t>
      </w:r>
      <w:r>
        <w:rPr>
          <w:rFonts w:ascii="Arial" w:hAnsi="Arial" w:cs="Arial" w:eastAsia="Arial"/>
          <w:sz w:val="20"/>
          <w:szCs w:val="20"/>
          <w:lang w:val="ru-RU" w:bidi="ru-RU"/>
        </w:rPr>
        <w:t xml:space="preserve">лизации инвестиционного климата в регионе (2021 - 2023 гг.), комплекс мер по повышению инвестиционной привлекательности в долгосрочной перспективе (2024 - 2030 гг.), создание условий для развития международных экспортных коридоров для несырьевого экспорта.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 2. Рациональное использование природного капитала Томской области, устойчивое развитие агропромышленного комплекса.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сбалансированного социально-экономического развит</w:t>
      </w:r>
      <w:r>
        <w:rPr>
          <w:rFonts w:ascii="Arial" w:hAnsi="Arial" w:cs="Arial" w:eastAsia="Arial"/>
          <w:sz w:val="20"/>
          <w:szCs w:val="20"/>
          <w:lang w:val="ru-RU" w:bidi="ru-RU"/>
        </w:rPr>
        <w:t xml:space="preserve">ия Томской области необходимо обеспечить улучшение экологической ситуации и рациональное использование природных ресурсов, в том числе возобновляемых, путем реализации соответствующих программных инструментов. В частности, посредством государственных прогр</w:t>
      </w:r>
      <w:r>
        <w:rPr>
          <w:rFonts w:ascii="Arial" w:hAnsi="Arial" w:cs="Arial" w:eastAsia="Arial"/>
          <w:sz w:val="20"/>
          <w:szCs w:val="20"/>
          <w:lang w:val="ru-RU" w:bidi="ru-RU"/>
        </w:rPr>
        <w:t xml:space="preserve">амм, направленных на создание условий для предотвращения вредного воздействия коммунальных отходов на здоровье человека и окружающую среду, в т.ч. увеличения доли утилизированных и обезвреженных отходов производства и потребления, доли объема отходов произ</w:t>
      </w:r>
      <w:r>
        <w:rPr>
          <w:rFonts w:ascii="Arial" w:hAnsi="Arial" w:cs="Arial" w:eastAsia="Arial"/>
          <w:sz w:val="20"/>
          <w:szCs w:val="20"/>
          <w:lang w:val="ru-RU" w:bidi="ru-RU"/>
        </w:rPr>
        <w:t xml:space="preserve">водства, вовлекаемых во вторичное использование; повышения качества окружающей среды, рационального и эффективного использования природных ресурсов в Томской области, развития лесного хозяйства, развития водохозяйственного комплекса, охотничьего хозяйства.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Большое значение в социально-экономическом развитии Томской области играет агропромышленный комплекс, с помощью которого решаются проблемы устойчивого развития сельской местности. Необходимо создание условий для развития сельскохо</w:t>
      </w:r>
      <w:r>
        <w:rPr>
          <w:rFonts w:ascii="Arial" w:hAnsi="Arial" w:cs="Arial" w:eastAsia="Arial"/>
          <w:sz w:val="20"/>
          <w:szCs w:val="20"/>
          <w:lang w:val="ru-RU" w:bidi="ru-RU"/>
        </w:rPr>
        <w:t xml:space="preserve">зяйственного производства, мелиорации земель сельскохозяйственного назначения, развития рыбохозяйственного комплекса, сферы заготовки и переработки дикорастущего пищевого сырья. Особый акцент ставится на потенциалах отрасли, способных значительно увеличить</w:t>
      </w:r>
      <w:r>
        <w:rPr>
          <w:rFonts w:ascii="Arial" w:hAnsi="Arial" w:cs="Arial" w:eastAsia="Arial"/>
          <w:sz w:val="20"/>
          <w:szCs w:val="20"/>
          <w:lang w:val="ru-RU" w:bidi="ru-RU"/>
        </w:rPr>
        <w:t xml:space="preserve"> производительность предприятий в сферах растениеводства и животноводства, обеспечить рост собственной сырьевой базы пищевой и перерабатывающей промышленности, увеличить долю пищевой и сельскохозяйственной продукции в экспорте Томской области. Основными на</w:t>
      </w:r>
      <w:r>
        <w:rPr>
          <w:rFonts w:ascii="Arial" w:hAnsi="Arial" w:cs="Arial" w:eastAsia="Arial"/>
          <w:sz w:val="20"/>
          <w:szCs w:val="20"/>
          <w:lang w:val="ru-RU" w:bidi="ru-RU"/>
        </w:rPr>
        <w:t xml:space="preserve">правлениями совершенствования агропромышленного комплекса являются создание платформы передового сельского хозяйства и точного земледелия в опоре на потенциал отечественной технологической базы, реализация программы разработки и продвижения органических и </w:t>
      </w:r>
      <w:r>
        <w:rPr>
          <w:rFonts w:ascii="Arial" w:hAnsi="Arial" w:cs="Arial" w:eastAsia="Arial"/>
          <w:sz w:val="20"/>
          <w:szCs w:val="20"/>
          <w:lang w:val="ru-RU" w:bidi="ru-RU"/>
        </w:rPr>
        <w:t xml:space="preserve">функциональных продуктов питания, реализация программы комплексного научно-технологического обновления агропромышленной базы региона в формате комплексных научно-технических программ полного инновационного цикла / комплексных программ научных исследований.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 3. Повышение уровня и качества жизни населения на всей территории Томской области, накопление человеческого капитала.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сбалансированного социально-экономического развития Томской области будут сформированы условия для развития и повышения качества человеческого капитала через реализацию государственных программ, направленны</w:t>
      </w:r>
      <w:r>
        <w:rPr>
          <w:rFonts w:ascii="Arial" w:hAnsi="Arial" w:cs="Arial" w:eastAsia="Arial"/>
          <w:sz w:val="20"/>
          <w:szCs w:val="20"/>
          <w:lang w:val="ru-RU" w:bidi="ru-RU"/>
        </w:rPr>
        <w:t xml:space="preserve">х на развитие персонализированной медицины, популяционного здоровья и эпидемиологической безопасности; создания в Томской области обучающегося региона; создания инновационного строительного кластера, качественного обновления рынка городской недвижимости, р</w:t>
      </w:r>
      <w:r>
        <w:rPr>
          <w:rFonts w:ascii="Arial" w:hAnsi="Arial" w:cs="Arial" w:eastAsia="Arial"/>
          <w:sz w:val="20"/>
          <w:szCs w:val="20"/>
          <w:lang w:val="ru-RU" w:bidi="ru-RU"/>
        </w:rPr>
        <w:t xml:space="preserve">азвития современного городского дизайна, охватывающего территорию всей Томской области (создания современной урбанистической среды); обеспечения защиты населения и территории от чрезвычайных ситуаций природного и техногенного характера на межмуниципальном </w:t>
      </w:r>
      <w:r>
        <w:rPr>
          <w:rFonts w:ascii="Arial" w:hAnsi="Arial" w:cs="Arial" w:eastAsia="Arial"/>
          <w:sz w:val="20"/>
          <w:szCs w:val="20"/>
          <w:lang w:val="ru-RU" w:bidi="ru-RU"/>
        </w:rPr>
        <w:t xml:space="preserve">и региональном уровне, создания эффективной системы пожарной безопасности Томской области; вовлечения в добровольческую (волонтерскую) деятельность, выявления и поддержки молодежных инициатив; развития гибкого рынка труда в Томской области; развития новой </w:t>
      </w:r>
      <w:r>
        <w:rPr>
          <w:rFonts w:ascii="Arial" w:hAnsi="Arial" w:cs="Arial" w:eastAsia="Arial"/>
          <w:sz w:val="20"/>
          <w:szCs w:val="20"/>
          <w:lang w:val="ru-RU" w:bidi="ru-RU"/>
        </w:rPr>
        <w:t xml:space="preserve">городской культуры, охватывающей территорию всей Томской области (создания пространства современной, креативной культуры, актуальных форматов городского потребления); дополнение программы социальной защиты населения мерами по стабилизации в новых условиях.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рамках развития </w:t>
      </w:r>
      <w:r>
        <w:rPr>
          <w:rFonts w:ascii="Arial" w:hAnsi="Arial" w:cs="Arial" w:eastAsia="Arial"/>
          <w:sz w:val="20"/>
          <w:szCs w:val="20"/>
          <w:lang w:val="ru-RU" w:bidi="ru-RU"/>
        </w:rPr>
        <w:t xml:space="preserve">здравоохранения ключевая роль отводится повышению качества и доступности медицинской помощи, в том числе снижению смертности и увеличению продолжительности жизни населения. Большое значение имеет совершенствование оказания медицинской помощи, профилактика </w:t>
      </w:r>
      <w:r>
        <w:rPr>
          <w:rFonts w:ascii="Arial" w:hAnsi="Arial" w:cs="Arial" w:eastAsia="Arial"/>
          <w:sz w:val="20"/>
          <w:szCs w:val="20"/>
          <w:lang w:val="ru-RU" w:bidi="ru-RU"/>
        </w:rPr>
        <w:t xml:space="preserve">заболеваний и формирование здорового образа жизни, повышение эффективности системы организации медицинской помощи, оказание бесплатной медицинской помощи гражданам. С 2021 года реализуется программа модернизации первичного звена здравоохранения, которая вк</w:t>
      </w:r>
      <w:r>
        <w:rPr>
          <w:rFonts w:ascii="Arial" w:hAnsi="Arial" w:cs="Arial" w:eastAsia="Arial"/>
          <w:sz w:val="20"/>
          <w:szCs w:val="20"/>
          <w:lang w:val="ru-RU" w:bidi="ru-RU"/>
        </w:rPr>
        <w:t xml:space="preserve">лючает: строительство новых объектов здравоохранения, в том числе фельдшерско-акушерские пункты, поликлиники (включая детские), врачебные амбулатории; проведение капитального ремонта и реконструкции объектов; строительство новых зданий взамен существующих.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Важной задачей государственной политики является повышение качества образования в регионе. Развитие системы образования направлено на обеспечение доступного и качественного дошкольного, начального общего, основного общего, среднего </w:t>
      </w:r>
      <w:r>
        <w:rPr>
          <w:rFonts w:ascii="Arial" w:hAnsi="Arial" w:cs="Arial" w:eastAsia="Arial"/>
          <w:sz w:val="20"/>
          <w:szCs w:val="20"/>
          <w:lang w:val="ru-RU" w:bidi="ru-RU"/>
        </w:rPr>
        <w:t xml:space="preserve">общего, профессионального образования и дополнительного образования детей, высшего образования, а также на развитие инфраструктуры образовательных организаций, на проведение результативной кадровой политики в соответствии с потребностями экономики региона.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Томской области будут созданы условия для развития жилищного строительства, улучшения качества жилищных условий и обеспечения доступности жилья, формирования качественной городской среды.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Будет продолжено создание условий для повышения общественной безопасности на основе аппаратно-программ</w:t>
      </w:r>
      <w:r>
        <w:rPr>
          <w:rFonts w:ascii="Arial" w:hAnsi="Arial" w:cs="Arial" w:eastAsia="Arial"/>
          <w:sz w:val="20"/>
          <w:szCs w:val="20"/>
          <w:lang w:val="ru-RU" w:bidi="ru-RU"/>
        </w:rPr>
        <w:t xml:space="preserve">ного комплекса "Безопасный город", снижения количества преступлений, профилактики правонарушений и наркомании, обеспечения мобилизационной подготовки, снижения количества населения, погибшего и пострадавшего при чрезвычайных ситуациях, погибших на пожарах.</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Будут созданы условия для успешной социализации и самореализации молодежи, а также условия для развития массового спорта и спорта высших достижений.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Для повышения уровня б</w:t>
      </w:r>
      <w:r>
        <w:rPr>
          <w:rFonts w:ascii="Arial" w:hAnsi="Arial" w:cs="Arial" w:eastAsia="Arial"/>
          <w:sz w:val="20"/>
          <w:szCs w:val="20"/>
          <w:lang w:val="ru-RU" w:bidi="ru-RU"/>
        </w:rPr>
        <w:t xml:space="preserve">лагосостояния населения требуется наличие развитого и эффективного рынка труда. В этой сфере будет проводиться политика повышения уровня занятости населения, сопряженная с развитием институтов рынка труда, а также социальной поддержкой безработных граждан.</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Будет продолжено создание условий для развития культурно-массового сектора, повышения качества и доступности услуг в сфере культуры, участия населения в культурно-досуговых мероприятиях, проводимых государственными (муниципальными) учреждениями культуры.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Социальная поддержка населения Томской области предполагает повышение уровня жизни граждан - получателей мер социальной поддержки, повышение уровня качества и безопасности социального обслуживания населения, обеспечение беспре</w:t>
      </w:r>
      <w:r>
        <w:rPr>
          <w:rFonts w:ascii="Arial" w:hAnsi="Arial" w:cs="Arial" w:eastAsia="Arial"/>
          <w:sz w:val="20"/>
          <w:szCs w:val="20"/>
          <w:lang w:val="ru-RU" w:bidi="ru-RU"/>
        </w:rPr>
        <w:t xml:space="preserve">пятственного доступа к приоритетным объектам и услугам в сферах жизнедеятельности инвалидов и других маломобильных групп, модернизацию социального обслуживания населения, создание доступной среды, обеспечение государственной поддержки семей, имеющих детей.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 4. Сбалансированное территориальное развитие, в т.ч. за счет развития инфраструктуры в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 будет реализована посредством государственных программ, направленных на создание условий для повышения качества жизни сельского населения, создание условий ра</w:t>
      </w:r>
      <w:r>
        <w:rPr>
          <w:rFonts w:ascii="Arial" w:hAnsi="Arial" w:cs="Arial" w:eastAsia="Arial"/>
          <w:sz w:val="20"/>
          <w:szCs w:val="20"/>
          <w:lang w:val="ru-RU" w:bidi="ru-RU"/>
        </w:rPr>
        <w:t xml:space="preserve">звития сельских территорий, в том числе за счет обеспечения целевых инвестиций и институтов поддержки формирования новой экономической специализации на уровне муниципальных образований, создания "инфраструктурных поясов" - программ концентрации доступных ф</w:t>
      </w:r>
      <w:r>
        <w:rPr>
          <w:rFonts w:ascii="Arial" w:hAnsi="Arial" w:cs="Arial" w:eastAsia="Arial"/>
          <w:sz w:val="20"/>
          <w:szCs w:val="20"/>
          <w:lang w:val="ru-RU" w:bidi="ru-RU"/>
        </w:rPr>
        <w:t xml:space="preserve">орматов, инструментов и механизмов федерального и регионального уровней; повышения качества жизни в сельской местности (развития инфраструктуры и благоустройства территорий, предоставления субсидий для приобретения жилья, обеспечения содействия занятости).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Обеспечение сбалансированного территориального развития в Томской области будет реализовываться посредством государственных программ, направленных на развитие транспортной, коммунальной и коммуникационной инфраструктуры и энергетики.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В ходе реализации мероприятий, направленных на развитие транспортной инфраструктуры, будет обеспечено повышение эффективности транспортной сист</w:t>
      </w:r>
      <w:r>
        <w:rPr>
          <w:rFonts w:ascii="Arial" w:hAnsi="Arial" w:cs="Arial" w:eastAsia="Arial"/>
          <w:sz w:val="20"/>
          <w:szCs w:val="20"/>
          <w:lang w:val="ru-RU" w:bidi="ru-RU"/>
        </w:rPr>
        <w:t xml:space="preserve">емы, увеличение пассажирооборота транспорта общего пользования, рост протяженности автомобильных дорог общего пользования с твердым покрытием, рост объема грузовых перевозок автомобильным транспортом. Необходимо создание условий для развития системы пассаж</w:t>
      </w:r>
      <w:r>
        <w:rPr>
          <w:rFonts w:ascii="Arial" w:hAnsi="Arial" w:cs="Arial" w:eastAsia="Arial"/>
          <w:sz w:val="20"/>
          <w:szCs w:val="20"/>
          <w:lang w:val="ru-RU" w:bidi="ru-RU"/>
        </w:rPr>
        <w:t xml:space="preserve">ирского транспорта, внедрения системы умного пассажирского транспорта как части программы "Умный город", создания современного аэропорта и системы обслуживания воздушных перевозок в г. Томске, реализации проектов развития транспортной инфраструктуры, ликви</w:t>
      </w:r>
      <w:r>
        <w:rPr>
          <w:rFonts w:ascii="Arial" w:hAnsi="Arial" w:cs="Arial" w:eastAsia="Arial"/>
          <w:sz w:val="20"/>
          <w:szCs w:val="20"/>
          <w:lang w:val="ru-RU" w:bidi="ru-RU"/>
        </w:rPr>
        <w:t xml:space="preserve">дирующей дефициты на уровне муниципальных образований, которые выступают сегодня одним из наиболее серьезных барьеров для пространственного и экономического развития региона; обеспечения поэтапного перехода на сети и беспроводные системы связи 5 поколения.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Развитие коммунальной и коммуникационной инфраструктуры предполагает создание условий для повышения энергоэффективности, снижения энергоемкости </w:t>
      </w:r>
      <w:r>
        <w:rPr>
          <w:rFonts w:ascii="Arial" w:hAnsi="Arial" w:cs="Arial" w:eastAsia="Arial"/>
          <w:sz w:val="20"/>
          <w:szCs w:val="20"/>
          <w:lang w:val="ru-RU" w:bidi="ru-RU"/>
        </w:rPr>
        <w:t xml:space="preserve">ВРП, снижения количества аварий в системах теплоснабжения, водоснабжения и очистки сточных вод, роста уровня газификации природным газом жилищного фонда, внедрения норм и стандартов, обеспечивающих переход к модели интеллектуальной цифровой инфраструктуры.</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Цель 5. Эффективное управление регионом и цифровая трансформация.</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Одним из стратегических направлений развития Томской области является формирование эффективного государственног</w:t>
      </w:r>
      <w:r>
        <w:rPr>
          <w:rFonts w:ascii="Arial" w:hAnsi="Arial" w:cs="Arial" w:eastAsia="Arial"/>
          <w:sz w:val="20"/>
          <w:szCs w:val="20"/>
          <w:lang w:val="ru-RU" w:bidi="ru-RU"/>
        </w:rPr>
        <w:t xml:space="preserve">о управления и оказание государственных услуг, в рамках которого будут реализованы государственные программы, направленные на создание условий для формирования потребительских цифровых мультисервисных платформ в секторах обслуживания населения, потребитель</w:t>
      </w:r>
      <w:r>
        <w:rPr>
          <w:rFonts w:ascii="Arial" w:hAnsi="Arial" w:cs="Arial" w:eastAsia="Arial"/>
          <w:sz w:val="20"/>
          <w:szCs w:val="20"/>
          <w:lang w:val="ru-RU" w:bidi="ru-RU"/>
        </w:rPr>
        <w:t xml:space="preserve">ских рынков, государственных услуг; эффективного управления региональными финансами и государственным имуществом; обеспечения перехода на эффективные модели государственного и муниципального управления в части продуктового менеджмента и цифровых инноваций.</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Формирование информационного общества основано на совершенствовании системы го</w:t>
      </w:r>
      <w:r>
        <w:rPr>
          <w:rFonts w:ascii="Arial" w:hAnsi="Arial" w:cs="Arial" w:eastAsia="Arial"/>
          <w:sz w:val="20"/>
          <w:szCs w:val="20"/>
          <w:lang w:val="ru-RU" w:bidi="ru-RU"/>
        </w:rPr>
        <w:t xml:space="preserve">сударственного управления и на повышении качества и доступности предоставления государственных и муниципальных услуг с использованием информационно-коммуникационных технологий. Будет происходить становление системы информирования населения Томской области.</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Эффективное управление региональными фи</w:t>
      </w:r>
      <w:r>
        <w:rPr>
          <w:rFonts w:ascii="Arial" w:hAnsi="Arial" w:cs="Arial" w:eastAsia="Arial"/>
          <w:sz w:val="20"/>
          <w:szCs w:val="20"/>
          <w:lang w:val="ru-RU" w:bidi="ru-RU"/>
        </w:rPr>
        <w:t xml:space="preserve">нансами и совершенствование межбюджетных отношений в Томской области осуществляются через повышение эффективности бюджетных расходов, прозрачности региональных финансов, развитие межбюджетных отношений, обеспечение долговой устойчивости областного бюджета.</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Повышение качества распоряжения государственным имуществом и рост эффективности системы государственных закупок в Томской области будут достигнуты путем соз</w:t>
      </w:r>
      <w:r>
        <w:rPr>
          <w:rFonts w:ascii="Arial" w:hAnsi="Arial" w:cs="Arial" w:eastAsia="Arial"/>
          <w:sz w:val="20"/>
          <w:szCs w:val="20"/>
          <w:lang w:val="ru-RU" w:bidi="ru-RU"/>
        </w:rPr>
        <w:t xml:space="preserve">дания системы рационального использования государственного имущества, его учета и контроля, приватизации областного государственного имущества, а также оптимизации процесса определения поставщиков, подрядчиков и исполнителей в рамках централизации закупок.</w:t>
      </w:r>
      <w:r/>
    </w:p>
    <w:p>
      <w:pPr>
        <w:pStyle w:val="808"/>
        <w:ind w:left="0" w:right="0" w:firstLine="540"/>
        <w:jc w:val="both"/>
        <w:spacing w:lineRule="auto" w:line="240" w:after="0" w:before="200"/>
        <w:rPr>
          <w:rFonts w:ascii="Arial" w:hAnsi="Arial" w:cs="Arial" w:eastAsia="Arial"/>
          <w:sz w:val="20"/>
          <w:szCs w:val="20"/>
          <w:lang w:val="ru-RU" w:bidi="ru-RU"/>
        </w:rPr>
      </w:pPr>
      <w:r>
        <w:rPr>
          <w:rFonts w:ascii="Arial" w:hAnsi="Arial" w:cs="Arial" w:eastAsia="Arial"/>
          <w:sz w:val="20"/>
          <w:szCs w:val="20"/>
          <w:lang w:val="ru-RU" w:bidi="ru-RU"/>
        </w:rPr>
        <w:t xml:space="preserve">Формирование эффективного института власти предусматривает совершенствование деятельности исполнительных органов государственной власти Томской области через развитие государственной гражданской и муниципальной службы</w:t>
      </w:r>
      <w:r>
        <w:rPr>
          <w:rFonts w:ascii="Arial" w:hAnsi="Arial" w:cs="Arial" w:eastAsia="Arial"/>
          <w:sz w:val="20"/>
          <w:szCs w:val="20"/>
          <w:lang w:val="ru-RU" w:bidi="ru-RU"/>
        </w:rPr>
        <w:t xml:space="preserve">, местного самоуправления. Кроме того, к задачам в рамках данного направления относится государственная поддержка институтов гражданского общества, укрепление единства российской нации и этнокультурное развитие народов России на территории Томской области.</w:t>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both"/>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p>
      <w:pPr>
        <w:pStyle w:val="808"/>
        <w:ind w:left="0" w:right="0" w:firstLine="0"/>
        <w:jc w:val="both"/>
        <w:spacing w:lineRule="auto" w:line="240" w:after="100" w:before="100"/>
        <w:rPr>
          <w:rFonts w:ascii="Arial" w:hAnsi="Arial" w:cs="Arial" w:eastAsia="Arial"/>
          <w:sz w:val="2"/>
          <w:szCs w:val="2"/>
          <w:lang w:val="ru-RU" w:bidi="ru-RU"/>
        </w:rPr>
        <w:pBdr>
          <w:top w:val="single" w:color="000000" w:sz="6" w:space="0"/>
        </w:pBdr>
      </w:pPr>
      <w:r>
        <w:rPr>
          <w:rFonts w:ascii="Arial" w:hAnsi="Arial" w:cs="Arial" w:eastAsia="Arial"/>
          <w:sz w:val="2"/>
          <w:szCs w:val="2"/>
          <w:lang w:val="ru-RU" w:bidi="ru-RU"/>
        </w:rPr>
      </w:r>
      <w:r/>
    </w:p>
    <w:sectPr>
      <w:headerReference w:type="default" r:id="rId10"/>
      <w:footerReference w:type="default" r:id="rId13"/>
      <w:footnotePr>
        <w:pos w:val="pageBottom"/>
      </w:footnotePr>
      <w:endnotePr/>
      <w:type w:val="nextPage"/>
      <w:pgSz w:w="11906" w:h="16838" w:orient="portrait"/>
      <w:pgMar w:top="1440" w:right="566" w:bottom="1440" w:left="1133" w:header="0" w:footer="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left="0" w:right="0" w:firstLine="0"/>
        <w:jc w:val="left"/>
        <w:spacing w:lineRule="auto" w:line="240" w:after="0" w:before="0"/>
        <w:rPr>
          <w:rFonts w:ascii="Calibri" w:hAnsi="Calibri" w:cs="Calibri" w:eastAsia="Calibri"/>
          <w:sz w:val="22"/>
          <w:szCs w:val="22"/>
          <w:lang w:val="ru-RU" w:bidi="ru-RU"/>
        </w:rPr>
      </w:pPr>
      <w:r>
        <w:rPr>
          <w:rFonts w:ascii="Calibri" w:hAnsi="Calibri" w:cs="Calibri" w:eastAsia="Calibri"/>
          <w:sz w:val="22"/>
          <w:szCs w:val="22"/>
          <w:lang w:val="ru-RU" w:bidi="ru-RU"/>
        </w:rPr>
        <w:separator/>
      </w:r>
      <w:r/>
    </w:p>
  </w:endnote>
  <w:endnote w:type="continuationSeparator" w:id="0">
    <w:p>
      <w:pPr>
        <w:ind w:left="0" w:right="0" w:firstLine="0"/>
        <w:jc w:val="left"/>
        <w:spacing w:lineRule="auto" w:line="240" w:after="0" w:before="0"/>
        <w:rPr>
          <w:rFonts w:ascii="Calibri" w:hAnsi="Calibri" w:cs="Calibri" w:eastAsia="Calibri"/>
          <w:sz w:val="22"/>
          <w:szCs w:val="22"/>
          <w:lang w:val="ru-RU" w:bidi="ru-RU"/>
        </w:rPr>
      </w:pPr>
      <w:r>
        <w:rPr>
          <w:rFonts w:ascii="Calibri" w:hAnsi="Calibri" w:cs="Calibri" w:eastAsia="Calibri"/>
          <w:sz w:val="22"/>
          <w:szCs w:val="22"/>
          <w:lang w:val="ru-RU" w:bidi="ru-RU"/>
        </w:rPr>
        <w: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ourier New">
    <w:panose1 w:val="02070409020205020404"/>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left="0" w:right="0" w:firstLine="0"/>
      <w:jc w:val="center"/>
      <w:spacing w:lineRule="auto" w:line="240" w:after="0" w:before="0"/>
      <w:rPr>
        <w:rFonts w:ascii="Arial" w:hAnsi="Arial" w:cs="Arial" w:eastAsia="Arial"/>
        <w:sz w:val="2"/>
        <w:szCs w:val="2"/>
        <w:lang w:val="ru-RU" w:bidi="ru-RU"/>
      </w:rPr>
      <w:pBdr>
        <w:bottom w:val="single" w:color="000000" w:sz="12" w:space="0"/>
      </w:pBdr>
    </w:pPr>
    <w:r>
      <w:rPr>
        <w:rFonts w:ascii="Arial" w:hAnsi="Arial" w:cs="Arial" w:eastAsia="Arial"/>
        <w:sz w:val="2"/>
        <w:szCs w:val="2"/>
        <w:lang w:val="ru-RU" w:bidi="ru-RU"/>
      </w:rPr>
    </w:r>
    <w:r/>
  </w:p>
  <w:tbl>
    <w:tblPr>
      <w:tblStyle w:val="807"/>
      <w:tblW w:w="5000" w:type="pct"/>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autofit"/>
      <w:tblCellMar>
        <w:left w:w="40" w:type="dxa"/>
        <w:right w:w="40" w:type="dxa"/>
      </w:tblCellMar>
      <w:tblLook w:val="04A0" w:firstRow="1" w:lastRow="0" w:firstColumn="1" w:lastColumn="0" w:noHBand="0" w:noVBand="1"/>
    </w:tblPr>
    <w:tblGrid>
      <w:gridCol w:w="3394"/>
      <w:gridCol w:w="3498"/>
      <w:gridCol w:w="3395"/>
    </w:tblGrid>
    <w:tr>
      <w:trPr>
        <w:trHeight w:val="1170" w:hRule="exact"/>
      </w:trPr>
      <w:tc>
        <w:tcPr>
          <w:tcBorders>
            <w:left w:val="none" w:color="000000" w:sz="2" w:space="0"/>
            <w:top w:val="none" w:color="000000" w:sz="2" w:space="0"/>
            <w:right w:val="none" w:color="000000" w:sz="2" w:space="0"/>
            <w:bottom w:val="none" w:color="000000" w:sz="2" w:space="0"/>
          </w:tcBorders>
          <w:tcW w:w="3394" w:type="dxa"/>
          <w:vAlign w:val="center"/>
          <w:textDirection w:val="lrTb"/>
          <w:noWrap w:val="false"/>
        </w:tcPr>
        <w:p>
          <w:pPr>
            <w:pStyle w:val="808"/>
            <w:ind w:left="0" w:right="0" w:firstLine="0"/>
            <w:jc w:val="left"/>
            <w:spacing w:lineRule="auto" w:line="240" w:after="0" w:before="0"/>
            <w:rPr>
              <w:rFonts w:ascii="Tahoma" w:hAnsi="Tahoma" w:cs="Tahoma" w:eastAsia="Tahoma"/>
              <w:b/>
              <w:bCs/>
              <w:color w:val="F58220"/>
              <w:sz w:val="28"/>
              <w:szCs w:val="28"/>
              <w:lang w:val="ru-RU" w:bidi="ru-RU"/>
            </w:rPr>
          </w:pPr>
          <w:r>
            <w:rPr>
              <w:rFonts w:ascii="Tahoma" w:hAnsi="Tahoma" w:cs="Tahoma" w:eastAsia="Tahoma"/>
              <w:b/>
              <w:bCs/>
              <w:color w:val="F58220"/>
              <w:sz w:val="28"/>
              <w:szCs w:val="28"/>
              <w:lang w:val="ru-RU" w:bidi="ru-RU"/>
            </w:rPr>
          </w:r>
          <w:r/>
        </w:p>
      </w:tc>
      <w:tc>
        <w:tcPr>
          <w:tcBorders>
            <w:left w:val="none" w:color="000000" w:sz="2" w:space="0"/>
            <w:top w:val="none" w:color="000000" w:sz="2" w:space="0"/>
            <w:right w:val="none" w:color="000000" w:sz="2" w:space="0"/>
            <w:bottom w:val="none" w:color="000000" w:sz="2" w:space="0"/>
          </w:tcBorders>
          <w:tcW w:w="3498" w:type="dxa"/>
          <w:vAlign w:val="center"/>
          <w:textDirection w:val="lrTb"/>
          <w:noWrap w:val="false"/>
        </w:tcPr>
        <w:p>
          <w:pPr>
            <w:pStyle w:val="808"/>
            <w:ind w:left="0" w:right="0" w:firstLine="0"/>
            <w:jc w:val="center"/>
            <w:spacing w:lineRule="auto" w:line="240" w:after="0" w:before="0"/>
            <w:rPr>
              <w:rFonts w:ascii="Tahoma" w:hAnsi="Tahoma" w:cs="Tahoma" w:eastAsia="Tahoma"/>
              <w:b/>
              <w:bCs/>
              <w:sz w:val="20"/>
              <w:szCs w:val="20"/>
              <w:lang w:val="ru-RU" w:bidi="ru-RU"/>
            </w:rPr>
          </w:pPr>
          <w:r>
            <w:rPr>
              <w:rFonts w:ascii="Tahoma" w:hAnsi="Tahoma" w:cs="Tahoma" w:eastAsia="Tahoma"/>
              <w:b/>
              <w:bCs/>
              <w:sz w:val="20"/>
              <w:szCs w:val="20"/>
              <w:lang w:val="ru-RU" w:bidi="ru-RU"/>
            </w:rPr>
          </w:r>
          <w:r/>
        </w:p>
      </w:tc>
      <w:tc>
        <w:tcPr>
          <w:tcBorders>
            <w:left w:val="none" w:color="000000" w:sz="2" w:space="0"/>
            <w:top w:val="none" w:color="000000" w:sz="2" w:space="0"/>
            <w:right w:val="none" w:color="000000" w:sz="2" w:space="0"/>
            <w:bottom w:val="none" w:color="000000" w:sz="2" w:space="0"/>
          </w:tcBorders>
          <w:tcW w:w="3395" w:type="dxa"/>
          <w:vAlign w:val="center"/>
          <w:textDirection w:val="lrTb"/>
          <w:noWrap w:val="false"/>
        </w:tcPr>
        <w:p>
          <w:pPr>
            <w:pStyle w:val="808"/>
            <w:ind w:left="0" w:right="0" w:firstLine="0"/>
            <w:jc w:val="right"/>
            <w:spacing w:lineRule="auto" w:line="240" w:after="0" w:before="0"/>
            <w:rPr>
              <w:rFonts w:ascii="Tahoma" w:hAnsi="Tahoma" w:cs="Tahoma" w:eastAsia="Tahoma"/>
              <w:sz w:val="20"/>
              <w:szCs w:val="20"/>
              <w:lang w:val="ru-RU" w:bidi="ru-RU"/>
            </w:rPr>
          </w:pPr>
          <w:r>
            <w:rPr>
              <w:rFonts w:ascii="Tahoma" w:hAnsi="Tahoma" w:cs="Tahoma" w:eastAsia="Tahoma"/>
              <w:sz w:val="20"/>
              <w:szCs w:val="20"/>
            </w:rPr>
            <w:fldChar w:fldCharType="begin"/>
          </w:r>
          <w:r>
            <w:rPr>
              <w:rFonts w:ascii="Tahoma" w:hAnsi="Tahoma" w:cs="Tahoma" w:eastAsia="Tahoma"/>
              <w:sz w:val="20"/>
              <w:szCs w:val="20"/>
            </w:rPr>
            <w:instrText xml:space="preserve">\PAGE</w:instrText>
          </w:r>
          <w:r>
            <w:fldChar w:fldCharType="separate"/>
          </w:r>
          <w:r>
            <w:rPr>
              <w:rFonts w:ascii="Tahoma" w:hAnsi="Tahoma" w:cs="Tahoma" w:eastAsia="Tahoma"/>
              <w:sz w:val="20"/>
              <w:szCs w:val="20"/>
            </w:rPr>
            <w:t xml:space="preserve">117</w:t>
          </w:r>
          <w:r>
            <w:fldChar w:fldCharType="end"/>
          </w:r>
          <w:r>
            <w:rPr>
              <w:rFonts w:ascii="Tahoma" w:hAnsi="Tahoma" w:cs="Tahoma" w:eastAsia="Tahoma"/>
              <w:sz w:val="20"/>
              <w:szCs w:val="20"/>
              <w:lang w:val="ru-RU" w:bidi="ru-RU"/>
            </w:rPr>
            <w:t xml:space="preserve"> </w:t>
          </w:r>
          <w:r/>
        </w:p>
      </w:tc>
    </w:tr>
  </w:tbl>
  <w:p>
    <w:pPr>
      <w:pStyle w:val="808"/>
      <w:ind w:left="0" w:right="0" w:firstLine="0"/>
      <w:jc w:val="left"/>
      <w:spacing w:lineRule="auto" w:line="240" w:after="0" w:before="0"/>
      <w:rPr>
        <w:rFonts w:ascii="Arial" w:hAnsi="Arial" w:cs="Arial" w:eastAsia="Arial"/>
        <w:sz w:val="2"/>
        <w:szCs w:val="2"/>
        <w:lang w:val="ru-RU" w:bidi="ru-RU"/>
      </w:rPr>
    </w:pPr>
    <w:r>
      <w:rPr>
        <w:rFonts w:ascii="Arial" w:hAnsi="Arial" w:cs="Arial" w:eastAsia="Arial"/>
        <w:sz w:val="2"/>
        <w:szCs w:val="2"/>
        <w:lang w:val="ru-RU" w:bidi="ru-RU"/>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left="0" w:right="0" w:firstLine="0"/>
      <w:jc w:val="left"/>
      <w:spacing w:lineRule="auto" w:line="240" w:after="0" w:before="0"/>
      <w:rPr>
        <w:rFonts w:ascii="Arial" w:hAnsi="Arial" w:cs="Arial" w:eastAsia="Arial"/>
        <w:sz w:val="2"/>
        <w:szCs w:val="2"/>
        <w:lang w:val="ru-RU" w:bidi="ru-RU"/>
      </w:rPr>
    </w:pPr>
    <w:r>
      <w:rPr>
        <w:rFonts w:ascii="Arial" w:hAnsi="Arial" w:cs="Arial" w:eastAsia="Arial"/>
        <w:sz w:val="2"/>
        <w:szCs w:val="2"/>
        <w:lang w:val="ru-RU" w:bidi="ru-RU"/>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ind w:left="0" w:right="0" w:firstLine="0"/>
      <w:jc w:val="left"/>
      <w:spacing w:lineRule="auto" w:line="240" w:after="0" w:before="0"/>
      <w:rPr>
        <w:rFonts w:ascii="Arial" w:hAnsi="Arial" w:cs="Arial" w:eastAsia="Arial"/>
        <w:sz w:val="2"/>
        <w:szCs w:val="2"/>
        <w:lang w:val="ru-RU" w:bidi="ru-RU"/>
      </w:rPr>
    </w:pPr>
    <w:r>
      <w:rPr>
        <w:rFonts w:ascii="Arial" w:hAnsi="Arial" w:cs="Arial" w:eastAsia="Arial"/>
        <w:sz w:val="2"/>
        <w:szCs w:val="2"/>
        <w:lang w:val="ru-RU" w:bidi="ru-RU"/>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left="0" w:right="0" w:firstLine="0"/>
        <w:jc w:val="left"/>
        <w:spacing w:lineRule="auto" w:line="240" w:after="0" w:before="0"/>
        <w:rPr>
          <w:rFonts w:ascii="Calibri" w:hAnsi="Calibri" w:cs="Calibri" w:eastAsia="Calibri"/>
          <w:sz w:val="22"/>
          <w:szCs w:val="22"/>
          <w:lang w:val="ru-RU" w:bidi="ru-RU"/>
        </w:rPr>
      </w:pPr>
      <w:r>
        <w:rPr>
          <w:rFonts w:ascii="Calibri" w:hAnsi="Calibri" w:cs="Calibri" w:eastAsia="Calibri"/>
          <w:sz w:val="22"/>
          <w:szCs w:val="22"/>
          <w:lang w:val="ru-RU" w:bidi="ru-RU"/>
        </w:rPr>
        <w:separator/>
      </w:r>
      <w:r/>
    </w:p>
  </w:footnote>
  <w:footnote w:type="continuationSeparator" w:id="0">
    <w:p>
      <w:pPr>
        <w:ind w:left="0" w:right="0" w:firstLine="0"/>
        <w:jc w:val="left"/>
        <w:spacing w:lineRule="auto" w:line="240" w:after="0" w:before="0"/>
        <w:rPr>
          <w:rFonts w:ascii="Calibri" w:hAnsi="Calibri" w:cs="Calibri" w:eastAsia="Calibri"/>
          <w:sz w:val="22"/>
          <w:szCs w:val="22"/>
          <w:lang w:val="ru-RU" w:bidi="ru-RU"/>
        </w:rPr>
      </w:pPr>
      <w:r>
        <w:rPr>
          <w:rFonts w:ascii="Calibri" w:hAnsi="Calibri" w:cs="Calibri" w:eastAsia="Calibri"/>
          <w:sz w:val="22"/>
          <w:szCs w:val="22"/>
          <w:lang w:val="ru-RU" w:bidi="ru-RU"/>
        </w:rP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07"/>
      <w:tblW w:w="5000" w:type="pct"/>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autofit"/>
      <w:tblCellMar>
        <w:left w:w="40" w:type="dxa"/>
        <w:right w:w="40" w:type="dxa"/>
      </w:tblCellMar>
      <w:tblLook w:val="04A0" w:firstRow="1" w:lastRow="0" w:firstColumn="1" w:lastColumn="0" w:noHBand="0" w:noVBand="1"/>
    </w:tblPr>
    <w:tblGrid>
      <w:gridCol w:w="5553"/>
      <w:gridCol w:w="4734"/>
    </w:tblGrid>
    <w:tr>
      <w:trPr>
        <w:trHeight w:val="1190" w:hRule="exact"/>
      </w:trPr>
      <w:tc>
        <w:tcPr>
          <w:tcBorders>
            <w:left w:val="none" w:color="000000" w:sz="2" w:space="0"/>
            <w:top w:val="none" w:color="000000" w:sz="2" w:space="0"/>
            <w:right w:val="none" w:color="000000" w:sz="2" w:space="0"/>
            <w:bottom w:val="none" w:color="000000" w:sz="2" w:space="0"/>
          </w:tcBorders>
          <w:tcW w:w="5553" w:type="dxa"/>
          <w:vAlign w:val="center"/>
          <w:textDirection w:val="lrTb"/>
          <w:noWrap w:val="false"/>
        </w:tcPr>
        <w:p>
          <w:pPr>
            <w:pStyle w:val="808"/>
            <w:ind w:left="0" w:right="0" w:firstLine="0"/>
            <w:jc w:val="left"/>
            <w:spacing w:lineRule="auto" w:line="240" w:after="0" w:before="0"/>
            <w:rPr>
              <w:rFonts w:ascii="Tahoma" w:hAnsi="Tahoma" w:cs="Tahoma" w:eastAsia="Tahoma"/>
              <w:sz w:val="16"/>
              <w:szCs w:val="16"/>
              <w:lang w:val="ru-RU" w:bidi="ru-RU"/>
            </w:rPr>
          </w:pPr>
          <w:r>
            <w:rPr>
              <w:rFonts w:ascii="Tahoma" w:hAnsi="Tahoma" w:cs="Tahoma" w:eastAsia="Tahoma"/>
              <w:sz w:val="16"/>
              <w:szCs w:val="16"/>
              <w:lang w:val="ru-RU" w:bidi="ru-RU"/>
            </w:rPr>
          </w:r>
          <w:r/>
        </w:p>
      </w:tc>
      <w:tc>
        <w:tcPr>
          <w:tcBorders>
            <w:left w:val="none" w:color="000000" w:sz="2" w:space="0"/>
            <w:top w:val="none" w:color="000000" w:sz="2" w:space="0"/>
            <w:right w:val="none" w:color="000000" w:sz="2" w:space="0"/>
            <w:bottom w:val="none" w:color="000000" w:sz="2" w:space="0"/>
          </w:tcBorders>
          <w:tcW w:w="4734" w:type="dxa"/>
          <w:vAlign w:val="center"/>
          <w:textDirection w:val="lrTb"/>
          <w:noWrap w:val="false"/>
        </w:tcPr>
        <w:p>
          <w:pPr>
            <w:pStyle w:val="808"/>
            <w:ind w:left="0" w:right="0" w:firstLine="0"/>
            <w:jc w:val="right"/>
            <w:spacing w:lineRule="auto" w:line="240" w:after="0" w:before="0"/>
            <w:rPr>
              <w:rFonts w:ascii="Tahoma" w:hAnsi="Tahoma" w:cs="Tahoma" w:eastAsia="Tahoma"/>
              <w:sz w:val="16"/>
              <w:szCs w:val="16"/>
              <w:lang w:val="ru-RU" w:bidi="ru-RU"/>
            </w:rPr>
          </w:pPr>
          <w:r>
            <w:rPr>
              <w:rFonts w:ascii="Tahoma" w:hAnsi="Tahoma" w:cs="Tahoma" w:eastAsia="Tahoma"/>
              <w:sz w:val="16"/>
              <w:szCs w:val="16"/>
              <w:lang w:val="ru-RU" w:bidi="ru-RU"/>
            </w:rPr>
          </w:r>
          <w:r/>
        </w:p>
      </w:tc>
    </w:tr>
  </w:tbl>
  <w:p>
    <w:pPr>
      <w:pStyle w:val="808"/>
      <w:ind w:left="0" w:right="0" w:firstLine="0"/>
      <w:jc w:val="center"/>
      <w:spacing w:lineRule="auto" w:line="240" w:after="0" w:before="0"/>
      <w:rPr>
        <w:rFonts w:ascii="Arial" w:hAnsi="Arial" w:cs="Arial" w:eastAsia="Arial"/>
        <w:sz w:val="2"/>
        <w:szCs w:val="2"/>
        <w:lang w:val="ru-RU" w:bidi="ru-RU"/>
      </w:rPr>
      <w:pBdr>
        <w:bottom w:val="single" w:color="000000" w:sz="12" w:space="0"/>
      </w:pBdr>
    </w:pPr>
    <w:r>
      <w:rPr>
        <w:rFonts w:ascii="Arial" w:hAnsi="Arial" w:cs="Arial" w:eastAsia="Arial"/>
        <w:sz w:val="2"/>
        <w:szCs w:val="2"/>
        <w:lang w:val="ru-RU" w:bidi="ru-RU"/>
      </w:rPr>
    </w:r>
    <w:r/>
  </w:p>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10"/>
        <w:szCs w:val="10"/>
        <w:lang w:val="ru-RU" w:bidi="ru-RU"/>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07"/>
      <w:tblW w:w="5000" w:type="pct"/>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autofit"/>
      <w:tblCellMar>
        <w:left w:w="40" w:type="dxa"/>
        <w:right w:w="40" w:type="dxa"/>
      </w:tblCellMar>
      <w:tblLook w:val="04A0" w:firstRow="1" w:lastRow="0" w:firstColumn="1" w:lastColumn="0" w:noHBand="0" w:noVBand="1"/>
    </w:tblPr>
    <w:tblGrid>
      <w:gridCol w:w="5553"/>
      <w:gridCol w:w="4734"/>
    </w:tblGrid>
    <w:tr>
      <w:trPr>
        <w:trHeight w:val="1190" w:hRule="exact"/>
      </w:trPr>
      <w:tc>
        <w:tcPr>
          <w:tcBorders>
            <w:left w:val="none" w:color="000000" w:sz="2" w:space="0"/>
            <w:top w:val="none" w:color="000000" w:sz="2" w:space="0"/>
            <w:right w:val="none" w:color="000000" w:sz="2" w:space="0"/>
            <w:bottom w:val="none" w:color="000000" w:sz="2" w:space="0"/>
          </w:tcBorders>
          <w:tcW w:w="5553" w:type="dxa"/>
          <w:vAlign w:val="center"/>
          <w:textDirection w:val="lrTb"/>
          <w:noWrap w:val="false"/>
        </w:tcPr>
        <w:p>
          <w:pPr>
            <w:pStyle w:val="808"/>
            <w:ind w:left="0" w:right="0" w:firstLine="0"/>
            <w:jc w:val="left"/>
            <w:spacing w:lineRule="auto" w:line="240" w:after="0" w:before="0"/>
            <w:rPr>
              <w:rFonts w:ascii="Tahoma" w:hAnsi="Tahoma" w:cs="Tahoma" w:eastAsia="Tahoma"/>
              <w:sz w:val="16"/>
              <w:szCs w:val="16"/>
              <w:lang w:val="ru-RU" w:bidi="ru-RU"/>
            </w:rPr>
          </w:pPr>
          <w:r>
            <w:rPr>
              <w:rFonts w:ascii="Tahoma" w:hAnsi="Tahoma" w:cs="Tahoma" w:eastAsia="Tahoma"/>
              <w:sz w:val="16"/>
              <w:szCs w:val="16"/>
              <w:lang w:val="ru-RU" w:bidi="ru-RU"/>
            </w:rPr>
          </w:r>
          <w:r/>
        </w:p>
      </w:tc>
      <w:tc>
        <w:tcPr>
          <w:tcBorders>
            <w:left w:val="none" w:color="000000" w:sz="2" w:space="0"/>
            <w:top w:val="none" w:color="000000" w:sz="2" w:space="0"/>
            <w:right w:val="none" w:color="000000" w:sz="2" w:space="0"/>
            <w:bottom w:val="none" w:color="000000" w:sz="2" w:space="0"/>
          </w:tcBorders>
          <w:tcW w:w="4734" w:type="dxa"/>
          <w:vAlign w:val="center"/>
          <w:textDirection w:val="lrTb"/>
          <w:noWrap w:val="false"/>
        </w:tcPr>
        <w:p>
          <w:pPr>
            <w:pStyle w:val="808"/>
            <w:ind w:left="0" w:right="0" w:firstLine="0"/>
            <w:jc w:val="left"/>
            <w:spacing w:lineRule="auto" w:line="240" w:after="0" w:before="0"/>
            <w:rPr>
              <w:rFonts w:ascii="Tahoma" w:hAnsi="Tahoma" w:cs="Tahoma" w:eastAsia="Tahoma"/>
              <w:sz w:val="16"/>
              <w:szCs w:val="16"/>
              <w:lang w:val="ru-RU" w:bidi="ru-RU"/>
            </w:rPr>
          </w:pPr>
          <w:r>
            <w:rPr>
              <w:rFonts w:ascii="Tahoma" w:hAnsi="Tahoma" w:cs="Tahoma" w:eastAsia="Tahoma"/>
              <w:sz w:val="16"/>
              <w:szCs w:val="16"/>
              <w:lang w:val="ru-RU" w:bidi="ru-RU"/>
            </w:rPr>
          </w:r>
          <w:r/>
        </w:p>
      </w:tc>
    </w:tr>
  </w:tbl>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807"/>
      <w:tblW w:w="5000" w:type="pct"/>
      <w:tblInd w:w="0" w:type="dxa"/>
      <w:tblBorders>
        <w:left w:val="none" w:sz="0" w:space="0" w:color="auto"/>
        <w:top w:val="none" w:sz="0" w:space="0" w:color="auto"/>
        <w:right w:val="none" w:sz="0" w:space="0" w:color="auto"/>
        <w:bottom w:val="none" w:sz="0" w:space="0" w:color="auto"/>
        <w:insideV w:val="none" w:sz="0" w:space="0" w:color="auto"/>
        <w:insideH w:val="none" w:sz="0" w:space="0" w:color="auto"/>
      </w:tblBorders>
      <w:tblLayout w:type="autofit"/>
      <w:tblCellMar>
        <w:left w:w="40" w:type="dxa"/>
        <w:right w:w="40" w:type="dxa"/>
      </w:tblCellMar>
      <w:tblLook w:val="04A0" w:firstRow="1" w:lastRow="0" w:firstColumn="1" w:lastColumn="0" w:noHBand="0" w:noVBand="1"/>
    </w:tblPr>
    <w:tblGrid>
      <w:gridCol w:w="5555"/>
      <w:gridCol w:w="4732"/>
    </w:tblGrid>
    <w:tr>
      <w:trPr>
        <w:trHeight w:val="709" w:hRule="exact"/>
      </w:trPr>
      <w:tc>
        <w:tcPr>
          <w:tcBorders>
            <w:left w:val="none" w:color="000000" w:sz="2" w:space="0"/>
            <w:top w:val="none" w:color="000000" w:sz="2" w:space="0"/>
            <w:right w:val="none" w:color="000000" w:sz="2" w:space="0"/>
            <w:bottom w:val="none" w:color="000000" w:sz="2" w:space="0"/>
          </w:tcBorders>
          <w:tcW w:w="5555" w:type="dxa"/>
          <w:vAlign w:val="center"/>
          <w:textDirection w:val="lrTb"/>
          <w:noWrap w:val="false"/>
        </w:tcPr>
        <w:p>
          <w:pPr>
            <w:pStyle w:val="808"/>
            <w:ind w:left="0" w:right="0" w:firstLine="0"/>
            <w:jc w:val="left"/>
            <w:spacing w:lineRule="auto" w:line="240" w:after="0" w:before="0"/>
            <w:rPr>
              <w:rFonts w:ascii="Tahoma" w:hAnsi="Tahoma" w:cs="Tahoma" w:eastAsia="Tahoma"/>
              <w:sz w:val="16"/>
              <w:szCs w:val="16"/>
              <w:lang w:val="ru-RU" w:bidi="ru-RU"/>
            </w:rPr>
          </w:pPr>
          <w:r>
            <w:rPr>
              <w:rFonts w:ascii="Tahoma" w:hAnsi="Tahoma" w:cs="Tahoma" w:eastAsia="Tahoma"/>
              <w:sz w:val="16"/>
              <w:szCs w:val="16"/>
              <w:lang w:val="ru-RU" w:bidi="ru-RU"/>
            </w:rPr>
          </w:r>
          <w:r/>
        </w:p>
      </w:tc>
      <w:tc>
        <w:tcPr>
          <w:tcBorders>
            <w:left w:val="none" w:color="000000" w:sz="2" w:space="0"/>
            <w:top w:val="none" w:color="000000" w:sz="2" w:space="0"/>
            <w:right w:val="none" w:color="000000" w:sz="2" w:space="0"/>
            <w:bottom w:val="none" w:color="000000" w:sz="2" w:space="0"/>
          </w:tcBorders>
          <w:tcW w:w="4732" w:type="dxa"/>
          <w:vAlign w:val="center"/>
          <w:textDirection w:val="lrTb"/>
          <w:noWrap w:val="false"/>
        </w:tcPr>
        <w:p>
          <w:pPr>
            <w:pStyle w:val="808"/>
            <w:ind w:left="0" w:right="0" w:firstLine="0"/>
            <w:jc w:val="right"/>
            <w:spacing w:lineRule="auto" w:line="240" w:after="0" w:before="0"/>
            <w:rPr>
              <w:rFonts w:ascii="Tahoma" w:hAnsi="Tahoma" w:cs="Tahoma" w:eastAsia="Tahoma"/>
              <w:sz w:val="16"/>
              <w:szCs w:val="16"/>
              <w:lang w:val="ru-RU" w:bidi="ru-RU"/>
            </w:rPr>
          </w:pPr>
          <w:r>
            <w:rPr>
              <w:rFonts w:ascii="Tahoma" w:hAnsi="Tahoma" w:cs="Tahoma" w:eastAsia="Tahoma"/>
              <w:sz w:val="16"/>
              <w:szCs w:val="16"/>
              <w:lang w:val="ru-RU" w:bidi="ru-RU"/>
            </w:rPr>
          </w:r>
          <w:r/>
        </w:p>
      </w:tc>
    </w:tr>
  </w:tbl>
  <w:p>
    <w:pPr>
      <w:pStyle w:val="808"/>
      <w:ind w:left="0" w:right="0" w:firstLine="0"/>
      <w:jc w:val="left"/>
      <w:spacing w:lineRule="auto" w:line="240" w:after="0" w:before="0"/>
      <w:rPr>
        <w:rFonts w:ascii="Arial" w:hAnsi="Arial" w:cs="Arial" w:eastAsia="Arial"/>
        <w:sz w:val="20"/>
        <w:szCs w:val="20"/>
        <w:lang w:val="ru-RU" w:bidi="ru-RU"/>
      </w:rPr>
    </w:pPr>
    <w:r>
      <w:rPr>
        <w:rFonts w:ascii="Arial" w:hAnsi="Arial" w:cs="Arial" w:eastAsia="Arial"/>
        <w:sz w:val="20"/>
        <w:szCs w:val="20"/>
        <w:lang w:val="ru-RU" w:bidi="ru-RU"/>
      </w:rPr>
    </w:r>
    <w:r/>
  </w:p>
</w:hdr>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20"/>
  <m:mathPr>
    <m:brkBin m:val="before"/>
    <m:defJc m:val="center"/>
    <m:intLim m:val="subSup"/>
    <m:lMargin m:val="0"/>
    <m:mathFont m:val="Cambria Math"/>
    <m:naryLim m:val="undOvr"/>
    <m:rMargin m:val="0"/>
    <m:wrapIndent m:val="1440"/>
  </m:mathPr>
  <w:trackRevisions w:val="false"/>
  <w:footnotePr>
    <w:footnote w:id="-1"/>
    <w:footnote w:id="0"/>
    <w:numFmt w:val="decimal"/>
    <w:numRestart w:val="continuous"/>
    <w:numStart w:val="1"/>
    <w:pos w:val="pageBottom"/>
  </w:footnotePr>
  <w:endnotePr>
    <w:endnote w:id="-1"/>
    <w:endnote w:id="0"/>
    <w:numFmt w:val="lowerRoman"/>
    <w:numRestart w:val="continuous"/>
    <w:numStart w:val="1"/>
    <w:pos w:val="docEnd"/>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zoom w:percent="100"/>
  <w:characterSpacingControl w:val="doNotCompress"/>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4"/>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
    <w:name w:val="Heading 1"/>
    <w:basedOn w:val="805"/>
    <w:next w:val="805"/>
    <w:link w:val="12"/>
    <w:qFormat/>
    <w:uiPriority w:val="9"/>
    <w:rPr>
      <w:rFonts w:ascii="Arial" w:hAnsi="Arial" w:cs="Arial" w:eastAsia="Arial"/>
      <w:sz w:val="40"/>
      <w:szCs w:val="40"/>
    </w:rPr>
    <w:pPr>
      <w:keepLines/>
      <w:keepNext/>
      <w:spacing w:after="200" w:before="480"/>
      <w:outlineLvl w:val="0"/>
    </w:pPr>
  </w:style>
  <w:style w:type="character" w:styleId="12">
    <w:name w:val="Heading 1 Char"/>
    <w:basedOn w:val="806"/>
    <w:link w:val="11"/>
    <w:uiPriority w:val="9"/>
    <w:rPr>
      <w:rFonts w:ascii="Arial" w:hAnsi="Arial" w:cs="Arial" w:eastAsia="Arial"/>
      <w:sz w:val="40"/>
      <w:szCs w:val="40"/>
    </w:rPr>
  </w:style>
  <w:style w:type="paragraph" w:styleId="13">
    <w:name w:val="Heading 2"/>
    <w:basedOn w:val="805"/>
    <w:next w:val="805"/>
    <w:link w:val="14"/>
    <w:qFormat/>
    <w:uiPriority w:val="9"/>
    <w:unhideWhenUsed/>
    <w:rPr>
      <w:rFonts w:ascii="Arial" w:hAnsi="Arial" w:cs="Arial" w:eastAsia="Arial"/>
      <w:sz w:val="34"/>
    </w:rPr>
    <w:pPr>
      <w:keepLines/>
      <w:keepNext/>
      <w:spacing w:after="200" w:before="360"/>
      <w:outlineLvl w:val="1"/>
    </w:pPr>
  </w:style>
  <w:style w:type="character" w:styleId="14">
    <w:name w:val="Heading 2 Char"/>
    <w:basedOn w:val="806"/>
    <w:link w:val="13"/>
    <w:uiPriority w:val="9"/>
    <w:rPr>
      <w:rFonts w:ascii="Arial" w:hAnsi="Arial" w:cs="Arial" w:eastAsia="Arial"/>
      <w:sz w:val="34"/>
    </w:rPr>
  </w:style>
  <w:style w:type="paragraph" w:styleId="15">
    <w:name w:val="Heading 3"/>
    <w:basedOn w:val="805"/>
    <w:next w:val="805"/>
    <w:link w:val="16"/>
    <w:qFormat/>
    <w:uiPriority w:val="9"/>
    <w:unhideWhenUsed/>
    <w:rPr>
      <w:rFonts w:ascii="Arial" w:hAnsi="Arial" w:cs="Arial" w:eastAsia="Arial"/>
      <w:sz w:val="30"/>
      <w:szCs w:val="30"/>
    </w:rPr>
    <w:pPr>
      <w:keepLines/>
      <w:keepNext/>
      <w:spacing w:after="200" w:before="320"/>
      <w:outlineLvl w:val="2"/>
    </w:pPr>
  </w:style>
  <w:style w:type="character" w:styleId="16">
    <w:name w:val="Heading 3 Char"/>
    <w:basedOn w:val="806"/>
    <w:link w:val="15"/>
    <w:uiPriority w:val="9"/>
    <w:rPr>
      <w:rFonts w:ascii="Arial" w:hAnsi="Arial" w:cs="Arial" w:eastAsia="Arial"/>
      <w:sz w:val="30"/>
      <w:szCs w:val="30"/>
    </w:rPr>
  </w:style>
  <w:style w:type="paragraph" w:styleId="17">
    <w:name w:val="Heading 4"/>
    <w:basedOn w:val="805"/>
    <w:next w:val="805"/>
    <w:link w:val="18"/>
    <w:qFormat/>
    <w:uiPriority w:val="9"/>
    <w:unhideWhenUsed/>
    <w:rPr>
      <w:rFonts w:ascii="Arial" w:hAnsi="Arial" w:cs="Arial" w:eastAsia="Arial"/>
      <w:b/>
      <w:bCs/>
      <w:sz w:val="26"/>
      <w:szCs w:val="26"/>
    </w:rPr>
    <w:pPr>
      <w:keepLines/>
      <w:keepNext/>
      <w:spacing w:after="200" w:before="320"/>
      <w:outlineLvl w:val="3"/>
    </w:pPr>
  </w:style>
  <w:style w:type="character" w:styleId="18">
    <w:name w:val="Heading 4 Char"/>
    <w:basedOn w:val="806"/>
    <w:link w:val="17"/>
    <w:uiPriority w:val="9"/>
    <w:rPr>
      <w:rFonts w:ascii="Arial" w:hAnsi="Arial" w:cs="Arial" w:eastAsia="Arial"/>
      <w:b/>
      <w:bCs/>
      <w:sz w:val="26"/>
      <w:szCs w:val="26"/>
    </w:rPr>
  </w:style>
  <w:style w:type="paragraph" w:styleId="19">
    <w:name w:val="Heading 5"/>
    <w:basedOn w:val="805"/>
    <w:next w:val="805"/>
    <w:link w:val="20"/>
    <w:qFormat/>
    <w:uiPriority w:val="9"/>
    <w:unhideWhenUsed/>
    <w:rPr>
      <w:rFonts w:ascii="Arial" w:hAnsi="Arial" w:cs="Arial" w:eastAsia="Arial"/>
      <w:b/>
      <w:bCs/>
      <w:sz w:val="24"/>
      <w:szCs w:val="24"/>
    </w:rPr>
    <w:pPr>
      <w:keepLines/>
      <w:keepNext/>
      <w:spacing w:after="200" w:before="320"/>
      <w:outlineLvl w:val="4"/>
    </w:pPr>
  </w:style>
  <w:style w:type="character" w:styleId="20">
    <w:name w:val="Heading 5 Char"/>
    <w:basedOn w:val="806"/>
    <w:link w:val="19"/>
    <w:uiPriority w:val="9"/>
    <w:rPr>
      <w:rFonts w:ascii="Arial" w:hAnsi="Arial" w:cs="Arial" w:eastAsia="Arial"/>
      <w:b/>
      <w:bCs/>
      <w:sz w:val="24"/>
      <w:szCs w:val="24"/>
    </w:rPr>
  </w:style>
  <w:style w:type="paragraph" w:styleId="21">
    <w:name w:val="Heading 6"/>
    <w:basedOn w:val="805"/>
    <w:next w:val="805"/>
    <w:link w:val="22"/>
    <w:qFormat/>
    <w:uiPriority w:val="9"/>
    <w:unhideWhenUsed/>
    <w:rPr>
      <w:rFonts w:ascii="Arial" w:hAnsi="Arial" w:cs="Arial" w:eastAsia="Arial"/>
      <w:b/>
      <w:bCs/>
      <w:sz w:val="22"/>
      <w:szCs w:val="22"/>
    </w:rPr>
    <w:pPr>
      <w:keepLines/>
      <w:keepNext/>
      <w:spacing w:after="200" w:before="320"/>
      <w:outlineLvl w:val="5"/>
    </w:pPr>
  </w:style>
  <w:style w:type="character" w:styleId="22">
    <w:name w:val="Heading 6 Char"/>
    <w:basedOn w:val="806"/>
    <w:link w:val="21"/>
    <w:uiPriority w:val="9"/>
    <w:rPr>
      <w:rFonts w:ascii="Arial" w:hAnsi="Arial" w:cs="Arial" w:eastAsia="Arial"/>
      <w:b/>
      <w:bCs/>
      <w:sz w:val="22"/>
      <w:szCs w:val="22"/>
    </w:rPr>
  </w:style>
  <w:style w:type="paragraph" w:styleId="23">
    <w:name w:val="Heading 7"/>
    <w:basedOn w:val="805"/>
    <w:next w:val="805"/>
    <w:link w:val="24"/>
    <w:qFormat/>
    <w:uiPriority w:val="9"/>
    <w:unhideWhenUsed/>
    <w:rPr>
      <w:rFonts w:ascii="Arial" w:hAnsi="Arial" w:cs="Arial" w:eastAsia="Arial"/>
      <w:b/>
      <w:bCs/>
      <w:i/>
      <w:iCs/>
      <w:sz w:val="22"/>
      <w:szCs w:val="22"/>
    </w:rPr>
    <w:pPr>
      <w:keepLines/>
      <w:keepNext/>
      <w:spacing w:after="200" w:before="320"/>
      <w:outlineLvl w:val="6"/>
    </w:pPr>
  </w:style>
  <w:style w:type="character" w:styleId="24">
    <w:name w:val="Heading 7 Char"/>
    <w:basedOn w:val="806"/>
    <w:link w:val="23"/>
    <w:uiPriority w:val="9"/>
    <w:rPr>
      <w:rFonts w:ascii="Arial" w:hAnsi="Arial" w:cs="Arial" w:eastAsia="Arial"/>
      <w:b/>
      <w:bCs/>
      <w:i/>
      <w:iCs/>
      <w:sz w:val="22"/>
      <w:szCs w:val="22"/>
    </w:rPr>
  </w:style>
  <w:style w:type="paragraph" w:styleId="25">
    <w:name w:val="Heading 8"/>
    <w:basedOn w:val="805"/>
    <w:next w:val="805"/>
    <w:link w:val="26"/>
    <w:qFormat/>
    <w:uiPriority w:val="9"/>
    <w:unhideWhenUsed/>
    <w:rPr>
      <w:rFonts w:ascii="Arial" w:hAnsi="Arial" w:cs="Arial" w:eastAsia="Arial"/>
      <w:i/>
      <w:iCs/>
      <w:sz w:val="22"/>
      <w:szCs w:val="22"/>
    </w:rPr>
    <w:pPr>
      <w:keepLines/>
      <w:keepNext/>
      <w:spacing w:after="200" w:before="320"/>
      <w:outlineLvl w:val="7"/>
    </w:pPr>
  </w:style>
  <w:style w:type="character" w:styleId="26">
    <w:name w:val="Heading 8 Char"/>
    <w:basedOn w:val="806"/>
    <w:link w:val="25"/>
    <w:uiPriority w:val="9"/>
    <w:rPr>
      <w:rFonts w:ascii="Arial" w:hAnsi="Arial" w:cs="Arial" w:eastAsia="Arial"/>
      <w:i/>
      <w:iCs/>
      <w:sz w:val="22"/>
      <w:szCs w:val="22"/>
    </w:rPr>
  </w:style>
  <w:style w:type="paragraph" w:styleId="27">
    <w:name w:val="Heading 9"/>
    <w:basedOn w:val="805"/>
    <w:next w:val="805"/>
    <w:link w:val="28"/>
    <w:qFormat/>
    <w:uiPriority w:val="9"/>
    <w:unhideWhenUsed/>
    <w:rPr>
      <w:rFonts w:ascii="Arial" w:hAnsi="Arial" w:cs="Arial" w:eastAsia="Arial"/>
      <w:i/>
      <w:iCs/>
      <w:sz w:val="21"/>
      <w:szCs w:val="21"/>
    </w:rPr>
    <w:pPr>
      <w:keepLines/>
      <w:keepNext/>
      <w:spacing w:after="200" w:before="320"/>
      <w:outlineLvl w:val="8"/>
    </w:pPr>
  </w:style>
  <w:style w:type="character" w:styleId="28">
    <w:name w:val="Heading 9 Char"/>
    <w:basedOn w:val="806"/>
    <w:link w:val="27"/>
    <w:uiPriority w:val="9"/>
    <w:rPr>
      <w:rFonts w:ascii="Arial" w:hAnsi="Arial" w:cs="Arial" w:eastAsia="Arial"/>
      <w:i/>
      <w:iCs/>
      <w:sz w:val="21"/>
      <w:szCs w:val="21"/>
    </w:rPr>
  </w:style>
  <w:style w:type="paragraph" w:styleId="29">
    <w:name w:val="List Paragraph"/>
    <w:basedOn w:val="805"/>
    <w:qFormat/>
    <w:uiPriority w:val="34"/>
    <w:pPr>
      <w:contextualSpacing w:val="true"/>
      <w:ind w:left="720"/>
    </w:pPr>
  </w:style>
  <w:style w:type="paragraph" w:styleId="31">
    <w:name w:val="No Spacing"/>
    <w:qFormat/>
    <w:uiPriority w:val="1"/>
    <w:pPr>
      <w:spacing w:lineRule="auto" w:line="240" w:after="0" w:before="0"/>
    </w:pPr>
  </w:style>
  <w:style w:type="paragraph" w:styleId="32">
    <w:name w:val="Title"/>
    <w:basedOn w:val="805"/>
    <w:next w:val="805"/>
    <w:link w:val="33"/>
    <w:qFormat/>
    <w:uiPriority w:val="10"/>
    <w:rPr>
      <w:sz w:val="48"/>
      <w:szCs w:val="48"/>
    </w:rPr>
    <w:pPr>
      <w:contextualSpacing w:val="true"/>
      <w:spacing w:after="200" w:before="300"/>
    </w:pPr>
  </w:style>
  <w:style w:type="character" w:styleId="33">
    <w:name w:val="Title Char"/>
    <w:basedOn w:val="806"/>
    <w:link w:val="32"/>
    <w:uiPriority w:val="10"/>
    <w:rPr>
      <w:sz w:val="48"/>
      <w:szCs w:val="48"/>
    </w:rPr>
  </w:style>
  <w:style w:type="paragraph" w:styleId="34">
    <w:name w:val="Subtitle"/>
    <w:basedOn w:val="805"/>
    <w:next w:val="805"/>
    <w:link w:val="35"/>
    <w:qFormat/>
    <w:uiPriority w:val="11"/>
    <w:rPr>
      <w:sz w:val="24"/>
      <w:szCs w:val="24"/>
    </w:rPr>
    <w:pPr>
      <w:spacing w:after="200" w:before="200"/>
    </w:pPr>
  </w:style>
  <w:style w:type="character" w:styleId="35">
    <w:name w:val="Subtitle Char"/>
    <w:basedOn w:val="806"/>
    <w:link w:val="34"/>
    <w:uiPriority w:val="11"/>
    <w:rPr>
      <w:sz w:val="24"/>
      <w:szCs w:val="24"/>
    </w:rPr>
  </w:style>
  <w:style w:type="paragraph" w:styleId="36">
    <w:name w:val="Quote"/>
    <w:basedOn w:val="805"/>
    <w:next w:val="805"/>
    <w:link w:val="37"/>
    <w:qFormat/>
    <w:uiPriority w:val="29"/>
    <w:rPr>
      <w:i/>
    </w:rPr>
    <w:pPr>
      <w:ind w:left="720" w:right="720"/>
    </w:pPr>
  </w:style>
  <w:style w:type="character" w:styleId="37">
    <w:name w:val="Quote Char"/>
    <w:link w:val="36"/>
    <w:uiPriority w:val="29"/>
    <w:rPr>
      <w:i/>
    </w:rPr>
  </w:style>
  <w:style w:type="paragraph" w:styleId="38">
    <w:name w:val="Intense Quote"/>
    <w:basedOn w:val="805"/>
    <w:next w:val="805"/>
    <w:link w:val="39"/>
    <w:qFormat/>
    <w:uiPriority w:val="30"/>
    <w:rPr>
      <w:i/>
    </w:rPr>
    <w:pPr>
      <w:contextualSpacing w:val="false"/>
      <w:ind w:left="720" w:right="720"/>
      <w:shd w:val="clear" w:fill="F2F2F2" w:color="auto"/>
      <w:pBdr>
        <w:left w:val="single" w:color="FFFFFF" w:sz="4" w:space="10"/>
        <w:top w:val="single" w:color="FFFFFF" w:sz="4" w:space="5"/>
        <w:right w:val="single" w:color="FFFFFF" w:sz="4" w:space="10"/>
        <w:bottom w:val="single" w:color="FFFFFF" w:sz="4" w:space="5"/>
      </w:pBdr>
    </w:pPr>
  </w:style>
  <w:style w:type="character" w:styleId="39">
    <w:name w:val="Intense Quote Char"/>
    <w:link w:val="38"/>
    <w:uiPriority w:val="30"/>
    <w:rPr>
      <w:i/>
    </w:rPr>
  </w:style>
  <w:style w:type="character" w:styleId="41">
    <w:name w:val="Header Char"/>
    <w:basedOn w:val="806"/>
    <w:link w:val="817"/>
    <w:uiPriority w:val="99"/>
  </w:style>
  <w:style w:type="character" w:styleId="43">
    <w:name w:val="Footer Char"/>
    <w:basedOn w:val="806"/>
    <w:link w:val="819"/>
    <w:uiPriority w:val="99"/>
  </w:style>
  <w:style w:type="paragraph" w:styleId="44">
    <w:name w:val="Caption"/>
    <w:basedOn w:val="805"/>
    <w:next w:val="805"/>
    <w:qFormat/>
    <w:uiPriority w:val="35"/>
    <w:semiHidden/>
    <w:unhideWhenUsed/>
    <w:rPr>
      <w:b/>
      <w:bCs/>
      <w:color w:val="4F81BD" w:themeColor="accent1"/>
      <w:sz w:val="18"/>
      <w:szCs w:val="18"/>
    </w:rPr>
    <w:pPr>
      <w:spacing w:lineRule="auto" w:line="276"/>
    </w:pPr>
  </w:style>
  <w:style w:type="character" w:styleId="45">
    <w:name w:val="Caption Char"/>
    <w:basedOn w:val="44"/>
    <w:link w:val="819"/>
    <w:uiPriority w:val="99"/>
  </w:style>
  <w:style w:type="table" w:styleId="47">
    <w:name w:val="Table Grid Light"/>
    <w:basedOn w:val="807"/>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style>
  <w:style w:type="table" w:styleId="48">
    <w:name w:val="Plain Table 1"/>
    <w:basedOn w:val="807"/>
    <w:uiPriority w:val="59"/>
    <w:pPr>
      <w:spacing w:lineRule="auto" w:line="240" w:after="0"/>
    </w:pPr>
    <w:tblPr>
      <w:tblInd w:w="0" w:type="dxa"/>
      <w:tblBorders>
        <w:left w:val="single" w:color="000000" w:sz="4" w:space="0" w:themeColor="text1" w:themeTint="50"/>
        <w:top w:val="single" w:color="000000" w:sz="4" w:space="0" w:themeColor="text1" w:themeTint="50"/>
        <w:right w:val="single" w:color="000000" w:sz="4" w:space="0" w:themeColor="text1" w:themeTint="50"/>
        <w:bottom w:val="single" w:color="000000" w:sz="4" w:space="0" w:themeColor="text1" w:themeTint="50"/>
        <w:insideV w:val="single" w:color="000000" w:sz="4" w:space="0" w:themeColor="text1" w:themeTint="50"/>
        <w:insideH w:val="single" w:color="000000" w:sz="4" w:space="0" w:themeColor="text1" w:themeTint="50"/>
      </w:tblBorders>
      <w:tblCellMar>
        <w:left w:w="108" w:type="dxa"/>
        <w:top w:w="0" w:type="dxa"/>
        <w:right w:w="108" w:type="dxa"/>
        <w:bottom w:w="0" w:type="dxa"/>
      </w:tblCellMar>
    </w:tblPr>
    <w:tblStylePr w:type="band1Horz">
      <w:tcPr>
        <w:shd w:val="clear" w:color="FFFFFF" w:themeFill="text1" w:themeFillTint="0D" w:themeColor="text1" w:themeTint="0D"/>
      </w:tcPr>
    </w:tblStylePr>
    <w:tblStylePr w:type="band1Vert">
      <w:tcPr>
        <w:shd w:val="clear" w:color="FFFFFF" w:themeFill="text1" w:themeFillTint="0D" w:themeColor="text1" w:theme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49">
    <w:name w:val="Plain Table 2"/>
    <w:basedOn w:val="807"/>
    <w:uiPriority w:val="59"/>
    <w:pPr>
      <w:spacing w:lineRule="auto" w:line="240" w:after="0"/>
    </w:pPr>
    <w:tblPr>
      <w:tblInd w:w="0" w:type="dxa"/>
      <w:tblBorders>
        <w:left w:val="none" w:color="000000" w:sz="4" w:space="0" w:themeColor="text1"/>
        <w:top w:val="single" w:color="000000" w:sz="4" w:space="0" w:themeColor="text1"/>
        <w:right w:val="none" w:color="000000" w:sz="4" w:space="0" w:themeColor="text1"/>
        <w:bottom w:val="single" w:color="000000" w:sz="4" w:space="0" w:themeColor="text1"/>
      </w:tblBorders>
      <w:tblCellMar>
        <w:left w:w="108" w:type="dxa"/>
        <w:top w:w="0" w:type="dxa"/>
        <w:right w:w="108" w:type="dxa"/>
        <w:bottom w:w="0" w:type="dxa"/>
      </w:tblCellMar>
    </w:tblPr>
    <w:tblStylePr w:type="band1Horz">
      <w:tcPr>
        <w:tcBorders>
          <w:top w:val="single" w:color="000000" w:sz="4" w:space="0" w:themeColor="text1"/>
          <w:bottom w:val="single" w:color="000000" w:sz="4" w:space="0" w:themeColor="text1"/>
        </w:tcBorders>
      </w:tcPr>
    </w:tblStylePr>
    <w:tblStylePr w:type="band1Vert">
      <w:tcPr>
        <w:tcBorders>
          <w:left w:val="single" w:color="000000" w:sz="4" w:space="0" w:themeColor="text1"/>
          <w:right w:val="single" w:color="000000" w:sz="4" w:space="0" w:themeColor="text1"/>
        </w:tcBorders>
      </w:tcPr>
    </w:tblStylePr>
    <w:tblStylePr w:type="band2Vert">
      <w:tcPr>
        <w:tcBorders>
          <w:left w:val="single" w:color="000000" w:sz="4" w:space="0" w:themeColor="text1"/>
          <w:right w:val="single" w:color="000000" w:sz="4" w:space="0" w:themeColor="text1"/>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themeColor="text1"/>
          <w:bottom w:val="single" w:color="000000" w:sz="4" w:space="0" w:themeColor="text1"/>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3"/>
    <w:basedOn w:val="807"/>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b/>
        <w:caps/>
        <w:color w:val="404040"/>
      </w:rPr>
      <w:tcPr>
        <w:tcBorders>
          <w:left w:val="none" w:color="000000" w:sz="4" w:space="0"/>
          <w:top w:val="none" w:color="000000" w:sz="4" w:space="0"/>
          <w:right w:val="single" w:color="404040" w:sz="4" w:space="0"/>
          <w:bottom w:val="none" w:color="000000" w:sz="4" w:space="0"/>
        </w:tcBorders>
      </w:tcPr>
    </w:tblStylePr>
    <w:tblStylePr w:type="firstRow">
      <w:rPr>
        <w:b/>
        <w:caps/>
        <w:color w:val="404040"/>
      </w:rPr>
      <w:tcPr>
        <w:tcBorders>
          <w:left w:val="none" w:color="000000" w:sz="4" w:space="0"/>
          <w:top w:val="none" w:color="000000" w:sz="4" w:space="0"/>
          <w:right w:val="none" w:color="000000" w:sz="4" w:space="0"/>
          <w:bottom w:val="single" w:color="404040" w:sz="4" w:space="0"/>
        </w:tcBorders>
      </w:tcPr>
    </w:tblStylePr>
    <w:tblStylePr w:type="lastCol">
      <w:rPr>
        <w:b/>
        <w:caps/>
        <w:color w:val="404040"/>
      </w:rPr>
    </w:tblStylePr>
    <w:tblStylePr w:type="lastRow">
      <w:rPr>
        <w:b/>
        <w:caps/>
        <w:color w:val="404040"/>
      </w:rPr>
    </w:tblStylePr>
  </w:style>
  <w:style w:type="table" w:styleId="51">
    <w:name w:val="Plain Table 4"/>
    <w:basedOn w:val="807"/>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2">
    <w:name w:val="Plain Table 5"/>
    <w:basedOn w:val="807"/>
    <w:uiPriority w:val="99"/>
    <w:pPr>
      <w:spacing w:lineRule="auto" w:line="240" w:after="0"/>
    </w:pPr>
    <w:tblPr>
      <w:tblStyleRowBandSize w:val="1"/>
      <w:tblStyleColBandSize w:val="1"/>
      <w:tblInd w:w="0" w:type="dxa"/>
    </w:tblPr>
    <w:tblStylePr w:type="band1Horz">
      <w:rPr>
        <w:rFonts w:ascii="Arial" w:hAnsi="Arial"/>
        <w:color w:val="404040"/>
        <w:sz w:val="22"/>
      </w:rPr>
      <w:tcPr>
        <w:shd w:val="clear" w:color="FFFFFF" w:themeFill="text1" w:themeFillTint="0D" w:themeColor="text1" w:themeTint="0D"/>
      </w:tcPr>
    </w:tblStylePr>
    <w:tblStylePr w:type="band1Vert">
      <w:rPr>
        <w:rFonts w:ascii="Arial" w:hAnsi="Arial"/>
        <w:color w:val="404040"/>
        <w:sz w:val="22"/>
      </w:rPr>
      <w:tcPr>
        <w:shd w:val="clear" w:color="FFFFFF" w:themeFill="text1" w:themeFillTint="0D" w:themeColor="text1" w:theme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right w:val="none" w:color="000000" w:sz="4" w:space="0"/>
          <w:bottom w:val="single" w:color="40404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left w:val="none" w:color="000000" w:sz="4" w:space="0"/>
          <w:top w:val="single" w:color="404040" w:sz="4" w:space="0"/>
          <w:right w:val="none" w:color="000000" w:sz="4" w:space="0"/>
        </w:tcBorders>
      </w:tcPr>
    </w:tblStylePr>
  </w:style>
  <w:style w:type="table" w:styleId="53">
    <w:name w:val="Grid Table 1 Light"/>
    <w:basedOn w:val="807"/>
    <w:uiPriority w:val="99"/>
    <w:pPr>
      <w:spacing w:lineRule="auto" w:line="240" w:after="0"/>
    </w:pPr>
    <w:tblPr>
      <w:tblStyleRowBandSize w:val="1"/>
      <w:tblStyleColBandSize w:val="1"/>
      <w:tblInd w:w="0" w:type="dxa"/>
      <w:tbl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insideV w:val="single" w:color="000000" w:sz="4" w:space="0" w:themeColor="text1" w:themeTint="67"/>
        <w:insideH w:val="single" w:color="000000" w:sz="4" w:space="0" w:themeColor="text1" w:themeTint="67"/>
      </w:tblBorders>
    </w:tblPr>
    <w:tblStylePr w:type="band1Horz">
      <w:rPr>
        <w:rFonts w:ascii="Arial" w:hAnsi="Arial"/>
        <w:color w:val="404040"/>
        <w:sz w:val="22"/>
      </w:rPr>
      <w:tcPr>
        <w:tcBorders>
          <w:left w:val="single" w:color="000000" w:sz="4" w:space="0" w:themeColor="text1" w:themeTint="67"/>
          <w:top w:val="single" w:color="000000" w:sz="4" w:space="0" w:themeColor="text1" w:themeTint="67"/>
          <w:right w:val="single" w:color="000000" w:sz="4" w:space="0" w:themeColor="text1" w:themeTint="67"/>
          <w:bottom w:val="single" w:color="000000" w:sz="4" w:space="0" w:themeColor="text1" w:themeTint="67"/>
        </w:tcBorders>
      </w:tcPr>
    </w:tblStylePr>
    <w:tblStylePr w:type="firstCol">
      <w:rPr>
        <w:b/>
        <w:color w:val="404040"/>
      </w:rPr>
    </w:tblStylePr>
    <w:tblStylePr w:type="firstRow">
      <w:rPr>
        <w:b/>
        <w:color w:val="404040"/>
      </w:rPr>
      <w:tcPr>
        <w:tcBorders>
          <w:bottom w:val="single" w:color="000000" w:sz="12" w:space="0" w:themeColor="text1" w:themeTint="95"/>
        </w:tcBorders>
      </w:tcPr>
    </w:tblStylePr>
    <w:tblStylePr w:type="lastCol">
      <w:rPr>
        <w:b/>
        <w:color w:val="404040"/>
      </w:rPr>
    </w:tblStylePr>
    <w:tblStylePr w:type="lastRow">
      <w:rPr>
        <w:b/>
        <w:color w:val="404040"/>
      </w:rPr>
    </w:tblStylePr>
  </w:style>
  <w:style w:type="table" w:styleId="54">
    <w:name w:val="Grid Table 1 Light - Accent 1"/>
    <w:basedOn w:val="807"/>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b/>
        <w:color w:val="404040"/>
      </w:rPr>
    </w:tblStylePr>
    <w:tblStylePr w:type="firstRow">
      <w:rPr>
        <w:b/>
        <w:color w:val="404040"/>
      </w:rPr>
      <w:tcPr>
        <w:tcBorders>
          <w:bottom w:val="single" w:color="000000" w:sz="12" w:space="0" w:themeColor="accent1" w:themeTint="95"/>
        </w:tcBorders>
      </w:tcPr>
    </w:tblStylePr>
    <w:tblStylePr w:type="lastCol">
      <w:rPr>
        <w:b/>
        <w:color w:val="404040"/>
      </w:rPr>
    </w:tblStylePr>
    <w:tblStylePr w:type="lastRow">
      <w:rPr>
        <w:b/>
        <w:color w:val="404040"/>
      </w:rPr>
    </w:tblStylePr>
  </w:style>
  <w:style w:type="table" w:styleId="55">
    <w:name w:val="Grid Table 1 Light - Accent 2"/>
    <w:basedOn w:val="807"/>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b/>
        <w:color w:val="404040"/>
      </w:rPr>
    </w:tblStylePr>
    <w:tblStylePr w:type="firstRow">
      <w:rPr>
        <w:b/>
        <w:color w:val="404040"/>
      </w:rPr>
      <w:tcPr>
        <w:tcBorders>
          <w:bottom w:val="single" w:color="000000" w:sz="12" w:space="0" w:themeColor="accent2" w:themeTint="95"/>
        </w:tcBorders>
      </w:tcPr>
    </w:tblStylePr>
    <w:tblStylePr w:type="lastCol">
      <w:rPr>
        <w:b/>
        <w:color w:val="404040"/>
      </w:rPr>
    </w:tblStylePr>
    <w:tblStylePr w:type="lastRow">
      <w:rPr>
        <w:b/>
        <w:color w:val="404040"/>
      </w:rPr>
    </w:tblStylePr>
  </w:style>
  <w:style w:type="table" w:styleId="56">
    <w:name w:val="Grid Table 1 Light - Accent 3"/>
    <w:basedOn w:val="807"/>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b/>
        <w:color w:val="404040"/>
      </w:rPr>
    </w:tblStylePr>
    <w:tblStylePr w:type="firstRow">
      <w:rPr>
        <w:b/>
        <w:color w:val="404040"/>
      </w:rPr>
      <w:tcPr>
        <w:tcBorders>
          <w:bottom w:val="single" w:color="000000" w:sz="12" w:space="0" w:themeColor="accent3" w:themeTint="95"/>
        </w:tcBorders>
      </w:tcPr>
    </w:tblStylePr>
    <w:tblStylePr w:type="lastCol">
      <w:rPr>
        <w:b/>
        <w:color w:val="404040"/>
      </w:rPr>
    </w:tblStylePr>
    <w:tblStylePr w:type="lastRow">
      <w:rPr>
        <w:b/>
        <w:color w:val="404040"/>
      </w:rPr>
    </w:tblStylePr>
  </w:style>
  <w:style w:type="table" w:styleId="57">
    <w:name w:val="Grid Table 1 Light - Accent 4"/>
    <w:basedOn w:val="807"/>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b/>
        <w:color w:val="404040"/>
      </w:rPr>
    </w:tblStylePr>
    <w:tblStylePr w:type="firstRow">
      <w:rPr>
        <w:b/>
        <w:color w:val="404040"/>
      </w:rPr>
      <w:tcPr>
        <w:tcBorders>
          <w:bottom w:val="single" w:color="000000" w:sz="12" w:space="0" w:themeColor="accent4" w:themeTint="95"/>
        </w:tcBorders>
      </w:tcPr>
    </w:tblStylePr>
    <w:tblStylePr w:type="lastCol">
      <w:rPr>
        <w:b/>
        <w:color w:val="404040"/>
      </w:rPr>
    </w:tblStylePr>
    <w:tblStylePr w:type="lastRow">
      <w:rPr>
        <w:b/>
        <w:color w:val="404040"/>
      </w:rPr>
    </w:tblStylePr>
  </w:style>
  <w:style w:type="table" w:styleId="58">
    <w:name w:val="Grid Table 1 Light - Accent 5"/>
    <w:basedOn w:val="807"/>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b/>
        <w:color w:val="404040"/>
      </w:rPr>
    </w:tblStylePr>
    <w:tblStylePr w:type="firstRow">
      <w:rPr>
        <w:b/>
        <w:color w:val="404040"/>
      </w:rPr>
      <w:tcPr>
        <w:tcBorders>
          <w:bottom w:val="single" w:color="000000" w:sz="12" w:space="0" w:themeColor="accent5" w:themeTint="95"/>
        </w:tcBorders>
      </w:tcPr>
    </w:tblStylePr>
    <w:tblStylePr w:type="lastCol">
      <w:rPr>
        <w:b/>
        <w:color w:val="404040"/>
      </w:rPr>
    </w:tblStylePr>
    <w:tblStylePr w:type="lastRow">
      <w:rPr>
        <w:b/>
        <w:color w:val="404040"/>
      </w:rPr>
    </w:tblStylePr>
  </w:style>
  <w:style w:type="table" w:styleId="59">
    <w:name w:val="Grid Table 1 Light - Accent 6"/>
    <w:basedOn w:val="807"/>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b/>
        <w:color w:val="404040"/>
      </w:rPr>
    </w:tblStylePr>
    <w:tblStylePr w:type="firstRow">
      <w:rPr>
        <w:b/>
        <w:color w:val="404040"/>
      </w:rPr>
      <w:tcPr>
        <w:tcBorders>
          <w:bottom w:val="single" w:color="000000" w:sz="12" w:space="0" w:themeColor="accent6" w:themeTint="95"/>
        </w:tcBorders>
      </w:tcPr>
    </w:tblStylePr>
    <w:tblStylePr w:type="lastCol">
      <w:rPr>
        <w:b/>
        <w:color w:val="404040"/>
      </w:rPr>
    </w:tblStylePr>
    <w:tblStylePr w:type="lastRow">
      <w:rPr>
        <w:b/>
        <w:color w:val="404040"/>
      </w:rPr>
    </w:tblStylePr>
  </w:style>
  <w:style w:type="table" w:styleId="60">
    <w:name w:val="Grid Table 2"/>
    <w:basedOn w:val="807"/>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text1" w:themeTint="9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text1" w:themeTint="95"/>
          <w:right w:val="none" w:color="000000" w:sz="4" w:space="0"/>
          <w:bottom w:val="none" w:color="000000" w:sz="4" w:space="0"/>
        </w:tcBorders>
      </w:tcPr>
    </w:tblStylePr>
  </w:style>
  <w:style w:type="table" w:styleId="61">
    <w:name w:val="Grid Table 2 - Accent 1"/>
    <w:basedOn w:val="807"/>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Fill="accent1" w:themeFillTint="34" w:themeColor="accent1" w:themeTint="34"/>
      </w:tcPr>
    </w:tblStylePr>
    <w:tblStylePr w:type="band1Vert">
      <w:rPr>
        <w:rFonts w:ascii="Arial" w:hAnsi="Arial"/>
        <w:color w:val="404040"/>
        <w:sz w:val="22"/>
      </w:rPr>
      <w:tcPr>
        <w:shd w:val="clear" w:color="FFFFFF" w:themeFill="accent1" w:themeFillTint="34" w:themeColor="accent1"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1" w:themeTint="E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1" w:themeTint="EA"/>
          <w:right w:val="none" w:color="000000" w:sz="4" w:space="0"/>
          <w:bottom w:val="none" w:color="000000" w:sz="4" w:space="0"/>
        </w:tcBorders>
      </w:tcPr>
    </w:tblStylePr>
  </w:style>
  <w:style w:type="table" w:styleId="62">
    <w:name w:val="Grid Table 2 - Accent 2"/>
    <w:basedOn w:val="807"/>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2" w:themeTint="97"/>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2" w:themeTint="97"/>
          <w:right w:val="none" w:color="000000" w:sz="4" w:space="0"/>
          <w:bottom w:val="none" w:color="000000" w:sz="4" w:space="0"/>
        </w:tcBorders>
      </w:tcPr>
    </w:tblStylePr>
  </w:style>
  <w:style w:type="table" w:styleId="63">
    <w:name w:val="Grid Table 2 - Accent 3"/>
    <w:basedOn w:val="807"/>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3" w:themeTint="FE"/>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3" w:themeTint="FE"/>
          <w:right w:val="none" w:color="000000" w:sz="4" w:space="0"/>
          <w:bottom w:val="none" w:color="000000" w:sz="4" w:space="0"/>
        </w:tcBorders>
      </w:tcPr>
    </w:tblStylePr>
  </w:style>
  <w:style w:type="table" w:styleId="64">
    <w:name w:val="Grid Table 2 - Accent 4"/>
    <w:basedOn w:val="807"/>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4" w:themeTint="9A"/>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4" w:themeTint="9A"/>
          <w:right w:val="none" w:color="000000" w:sz="4" w:space="0"/>
          <w:bottom w:val="none" w:color="000000" w:sz="4" w:space="0"/>
        </w:tcBorders>
      </w:tcPr>
    </w:tblStylePr>
  </w:style>
  <w:style w:type="table" w:styleId="65">
    <w:name w:val="Grid Table 2 - Accent 5"/>
    <w:basedOn w:val="807"/>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5"/>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5"/>
          <w:right w:val="none" w:color="000000" w:sz="4" w:space="0"/>
          <w:bottom w:val="none" w:color="000000" w:sz="4" w:space="0"/>
        </w:tcBorders>
      </w:tcPr>
    </w:tblStylePr>
  </w:style>
  <w:style w:type="table" w:styleId="66">
    <w:name w:val="Grid Table 2 - Accent 6"/>
    <w:basedOn w:val="807"/>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b/>
        <w:color w:val="404040"/>
      </w:rPr>
    </w:tblStylePr>
    <w:tblStylePr w:type="firstRow">
      <w:rPr>
        <w:b/>
        <w:color w:val="404040"/>
      </w:rPr>
      <w:tcPr>
        <w:shd w:val="clear" w:color="FFFFFF"/>
        <w:tcBorders>
          <w:left w:val="none" w:color="000000" w:sz="4" w:space="0"/>
          <w:top w:val="none" w:color="000000" w:sz="4" w:space="0"/>
          <w:right w:val="none" w:color="000000" w:sz="4" w:space="0"/>
          <w:bottom w:val="single" w:color="000000" w:sz="12" w:space="0" w:themeColor="accent6"/>
        </w:tcBorders>
      </w:tcPr>
    </w:tblStylePr>
    <w:tblStylePr w:type="lastCol">
      <w:rPr>
        <w:b/>
        <w:color w:val="404040"/>
      </w:rPr>
    </w:tblStylePr>
    <w:tblStylePr w:type="lastRow">
      <w:rPr>
        <w:b/>
        <w:color w:val="404040"/>
      </w:rPr>
      <w:tcPr>
        <w:shd w:val="clear" w:color="FFFFFF"/>
        <w:tcBorders>
          <w:left w:val="none" w:color="000000" w:sz="4" w:space="0"/>
          <w:top w:val="single" w:color="000000" w:sz="4" w:space="0" w:themeColor="accent6"/>
          <w:right w:val="none" w:color="000000" w:sz="4" w:space="0"/>
          <w:bottom w:val="none" w:color="000000" w:sz="4" w:space="0"/>
        </w:tcBorders>
      </w:tcPr>
    </w:tblStylePr>
  </w:style>
  <w:style w:type="table" w:styleId="67">
    <w:name w:val="Grid Table 3"/>
    <w:basedOn w:val="807"/>
    <w:uiPriority w:val="99"/>
    <w:pPr>
      <w:spacing w:lineRule="auto" w:line="240" w:after="0"/>
    </w:pPr>
    <w:tblPr>
      <w:tblStyleRowBandSize w:val="1"/>
      <w:tblStyleColBandSize w:val="1"/>
      <w:tblInd w:w="0" w:type="dxa"/>
      <w:tblBorders>
        <w:bottom w:val="single" w:color="000000" w:sz="4" w:space="0" w:themeColor="text1" w:themeTint="95"/>
        <w:insideV w:val="single" w:color="000000" w:sz="4" w:space="0" w:themeColor="text1" w:themeTint="95"/>
        <w:insideH w:val="single" w:color="000000" w:sz="4" w:space="0" w:themeColor="text1" w:themeTint="95"/>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8">
    <w:name w:val="Grid Table 3 - Accent 1"/>
    <w:basedOn w:val="807"/>
    <w:uiPriority w:val="99"/>
    <w:pPr>
      <w:spacing w:lineRule="auto" w:line="240" w:after="0"/>
    </w:pPr>
    <w:tblPr>
      <w:tblStyleRowBandSize w:val="1"/>
      <w:tblStyleColBandSize w:val="1"/>
      <w:tblInd w:w="0" w:type="dxa"/>
      <w:tblBorders>
        <w:bottom w:val="single" w:color="000000" w:sz="4" w:space="0" w:themeColor="accent1" w:themeTint="EA"/>
        <w:insideV w:val="single" w:color="000000" w:sz="4" w:space="0" w:themeColor="accent1" w:themeTint="EA"/>
        <w:insideH w:val="single" w:color="000000" w:sz="4" w:space="0" w:themeColor="accent1" w:themeTint="EA"/>
      </w:tblBorders>
    </w:tblPr>
    <w:tblStylePr w:type="band1Horz">
      <w:rPr>
        <w:rFonts w:ascii="Arial" w:hAnsi="Arial"/>
        <w:color w:val="404040"/>
        <w:sz w:val="22"/>
      </w:rPr>
      <w:tcPr>
        <w:shd w:val="clear" w:color="FFFFFF" w:themeFill="accent1" w:themeFillTint="34" w:themeColor="accent1" w:themeTint="34"/>
      </w:tcPr>
    </w:tblStylePr>
    <w:tblStylePr w:type="band1Vert">
      <w:rPr>
        <w:rFonts w:ascii="Arial" w:hAnsi="Arial"/>
        <w:color w:val="404040"/>
        <w:sz w:val="22"/>
      </w:rPr>
      <w:tcPr>
        <w:shd w:val="clear" w:color="FFFFFF" w:themeFill="accent1" w:themeFillTint="34" w:themeColor="accent1"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69">
    <w:name w:val="Grid Table 3 - Accent 2"/>
    <w:basedOn w:val="807"/>
    <w:uiPriority w:val="99"/>
    <w:pPr>
      <w:spacing w:lineRule="auto" w:line="240" w:after="0"/>
    </w:pPr>
    <w:tblPr>
      <w:tblStyleRowBandSize w:val="1"/>
      <w:tblStyleColBandSize w:val="1"/>
      <w:tblInd w:w="0" w:type="dxa"/>
      <w:tblBorders>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0">
    <w:name w:val="Grid Table 3 - Accent 3"/>
    <w:basedOn w:val="807"/>
    <w:uiPriority w:val="99"/>
    <w:pPr>
      <w:spacing w:lineRule="auto" w:line="240" w:after="0"/>
    </w:pPr>
    <w:tblPr>
      <w:tblStyleRowBandSize w:val="1"/>
      <w:tblStyleColBandSize w:val="1"/>
      <w:tblInd w:w="0" w:type="dxa"/>
      <w:tblBorders>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1">
    <w:name w:val="Grid Table 3 - Accent 4"/>
    <w:basedOn w:val="807"/>
    <w:uiPriority w:val="99"/>
    <w:pPr>
      <w:spacing w:lineRule="auto" w:line="240" w:after="0"/>
    </w:pPr>
    <w:tblPr>
      <w:tblStyleRowBandSize w:val="1"/>
      <w:tblStyleColBandSize w:val="1"/>
      <w:tblInd w:w="0" w:type="dxa"/>
      <w:tblBorders>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2">
    <w:name w:val="Grid Table 3 - Accent 5"/>
    <w:basedOn w:val="807"/>
    <w:uiPriority w:val="99"/>
    <w:pPr>
      <w:spacing w:lineRule="auto" w:line="240" w:after="0"/>
    </w:pPr>
    <w:tblPr>
      <w:tblStyleRowBandSize w:val="1"/>
      <w:tblStyleColBandSize w:val="1"/>
      <w:tblInd w:w="0" w:type="dxa"/>
      <w:tblBorders>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3">
    <w:name w:val="Grid Table 3 - Accent 6"/>
    <w:basedOn w:val="807"/>
    <w:uiPriority w:val="99"/>
    <w:pPr>
      <w:spacing w:lineRule="auto" w:line="240" w:after="0"/>
    </w:pPr>
    <w:tblPr>
      <w:tblStyleRowBandSize w:val="1"/>
      <w:tblStyleColBandSize w:val="1"/>
      <w:tblInd w:w="0" w:type="dxa"/>
      <w:tblBorders>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i/>
        <w:color w:val="404040"/>
      </w:rPr>
      <w:pPr>
        <w:jc w:val="right"/>
      </w:pPr>
      <w:tcPr>
        <w:shd w:color="FFFFFF"/>
        <w:tcBorders>
          <w:left w:val="none" w:color="000000" w:sz="4" w:space="0"/>
          <w:top w:val="none" w:color="000000" w:sz="4" w:space="0"/>
          <w:right w:val="none" w:color="000000" w:sz="4" w:space="0"/>
          <w:bottom w:val="none" w:color="000000" w:sz="4" w:space="0"/>
        </w:tcBorders>
      </w:tcPr>
    </w:tblStylePr>
    <w:tblStylePr w:type="firstRow">
      <w:rPr>
        <w:b/>
        <w:color w:val="404040"/>
      </w:rPr>
      <w:tcPr>
        <w:shd w:val="clear" w:color="FFFFFF"/>
        <w:tcBorders>
          <w:left w:val="none" w:color="000000" w:sz="4" w:space="0"/>
          <w:top w:val="none" w:color="000000" w:sz="4" w:space="0"/>
          <w:right w:val="none" w:color="000000" w:sz="4" w:space="0"/>
          <w:bottom w:val="none" w:color="000000" w:sz="4" w:space="0"/>
        </w:tcBorders>
      </w:tcPr>
    </w:tblStylePr>
    <w:tblStylePr w:type="lastCol">
      <w:rPr>
        <w:i/>
        <w:color w:val="404040"/>
      </w:rPr>
      <w:tcPr>
        <w:shd w:color="FFFFFF"/>
        <w:tcBorders>
          <w:left w:val="none" w:color="000000" w:sz="4" w:space="0"/>
          <w:top w:val="none" w:color="000000" w:sz="4" w:space="0"/>
          <w:right w:val="none" w:color="000000" w:sz="4" w:space="0"/>
          <w:bottom w:val="none" w:color="000000" w:sz="4" w:space="0"/>
        </w:tcBorders>
      </w:tcPr>
    </w:tblStylePr>
    <w:tblStylePr w:type="lastRow">
      <w:rPr>
        <w:b/>
        <w:color w:val="404040"/>
      </w:rPr>
      <w:tcPr>
        <w:shd w:val="clear" w:color="FFFFFF"/>
        <w:tcBorders>
          <w:left w:val="none" w:color="000000" w:sz="4" w:space="0"/>
          <w:top w:val="none" w:color="000000" w:sz="4" w:space="0"/>
          <w:right w:val="none" w:color="000000" w:sz="4" w:space="0"/>
          <w:bottom w:val="none" w:color="000000" w:sz="4" w:space="0"/>
        </w:tcBorders>
      </w:tcPr>
    </w:tblStylePr>
  </w:style>
  <w:style w:type="table" w:styleId="74">
    <w:name w:val="Grid Table 4"/>
    <w:basedOn w:val="807"/>
    <w:uiPriority w:val="59"/>
    <w:pPr>
      <w:spacing w:lineRule="auto" w:line="240" w:after="0"/>
    </w:pPr>
    <w:tblPr>
      <w:tblStyleRowBandSize w:val="1"/>
      <w:tblStyleColBandSize w:val="1"/>
      <w:tblInd w:w="0" w:type="dxa"/>
      <w:tblBorders>
        <w:left w:val="single" w:color="000000" w:sz="4" w:space="0" w:themeColor="text1" w:themeTint="90"/>
        <w:top w:val="single" w:color="000000" w:sz="4" w:space="0" w:themeColor="text1" w:themeTint="90"/>
        <w:right w:val="single" w:color="000000" w:sz="4" w:space="0" w:themeColor="text1" w:themeTint="90"/>
        <w:bottom w:val="single" w:color="000000" w:sz="4" w:space="0" w:themeColor="text1" w:themeTint="90"/>
        <w:insideV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Fill="text1" w:themeFillTint="34" w:themeColor="text1" w:themeTint="34"/>
      </w:tcPr>
    </w:tblStylePr>
    <w:tblStylePr w:type="band1Vert">
      <w:rPr>
        <w:rFonts w:ascii="Arial" w:hAnsi="Arial"/>
        <w:color w:val="404040"/>
        <w:sz w:val="22"/>
      </w:rPr>
      <w:tcPr>
        <w:shd w:val="clear" w:color="FFFFFF" w:themeFill="text1" w:themeFillTint="34" w:themeColor="text1" w:themeTint="34"/>
      </w:tcPr>
    </w:tblStylePr>
    <w:tblStylePr w:type="firstCol">
      <w:rPr>
        <w:b/>
        <w:color w:val="404040"/>
      </w:rPr>
    </w:tblStylePr>
    <w:tblStylePr w:type="firstRow">
      <w:rPr>
        <w:rFonts w:ascii="Arial" w:hAnsi="Arial"/>
        <w:b/>
        <w:color w:val="FFFFFF"/>
        <w:sz w:val="22"/>
      </w:rPr>
      <w:tcPr>
        <w:shd w:val="clear" w:color="FFFFFF" w:themeFill="text1" w:themeColor="text1"/>
        <w:tcBorders>
          <w:left w:val="single" w:color="000000" w:sz="4" w:space="0" w:themeColor="text1"/>
          <w:top w:val="single" w:color="000000" w:sz="4" w:space="0" w:themeColor="text1"/>
          <w:right w:val="single" w:color="000000" w:sz="4" w:space="0" w:themeColor="text1"/>
          <w:bottom w:val="single" w:color="000000" w:sz="4" w:space="0" w:themeColor="text1"/>
        </w:tcBorders>
      </w:tcPr>
    </w:tblStylePr>
    <w:tblStylePr w:type="lastCol">
      <w:rPr>
        <w:b/>
        <w:color w:val="404040"/>
      </w:rPr>
    </w:tblStylePr>
    <w:tblStylePr w:type="lastRow">
      <w:rPr>
        <w:b/>
        <w:color w:val="404040"/>
      </w:rPr>
      <w:tcPr>
        <w:tcBorders>
          <w:top w:val="single" w:color="000000" w:sz="4" w:space="0" w:themeColor="text1"/>
        </w:tcBorders>
      </w:tcPr>
    </w:tblStylePr>
  </w:style>
  <w:style w:type="table" w:styleId="75">
    <w:name w:val="Grid Table 4 - Accent 1"/>
    <w:basedOn w:val="807"/>
    <w:uiPriority w:val="5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V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32" w:themeColor="accent1" w:themeTint="32"/>
      </w:tcPr>
    </w:tblStylePr>
    <w:tblStylePr w:type="band1Vert">
      <w:rPr>
        <w:rFonts w:ascii="Arial" w:hAnsi="Arial"/>
        <w:color w:val="404040"/>
        <w:sz w:val="22"/>
      </w:rPr>
      <w:tcPr>
        <w:shd w:val="clear" w:color="FFFFFF" w:themeFill="accent1" w:themeFillTint="32" w:themeColor="accent1" w:themeTint="32"/>
      </w:tcPr>
    </w:tblStylePr>
    <w:tblStylePr w:type="firstCol">
      <w:rPr>
        <w:b/>
        <w:color w:val="404040"/>
      </w:rPr>
    </w:tblStylePr>
    <w:tblStylePr w:type="firstRow">
      <w:rPr>
        <w:rFonts w:ascii="Arial" w:hAnsi="Arial"/>
        <w:b/>
        <w:color w:val="FFFFFF"/>
        <w:sz w:val="22"/>
      </w:rPr>
      <w:tcPr>
        <w:shd w:val="clear" w:color="FFFFFF" w:themeFill="accent1" w:themeFillTint="EA" w:themeColor="accent1" w:themeTint="EA"/>
        <w:tcBorders>
          <w:left w:val="single" w:color="000000" w:sz="4" w:space="0" w:themeColor="accent1" w:themeTint="EA"/>
          <w:top w:val="single" w:color="000000" w:sz="4" w:space="0" w:themeColor="accent1" w:themeTint="EA"/>
          <w:right w:val="single" w:color="000000" w:sz="4" w:space="0" w:themeColor="accent1" w:themeTint="EA"/>
          <w:bottom w:val="single" w:color="000000" w:sz="4" w:space="0" w:themeColor="accent1" w:themeTint="EA"/>
        </w:tcBorders>
      </w:tcPr>
    </w:tblStylePr>
    <w:tblStylePr w:type="lastCol">
      <w:rPr>
        <w:b/>
        <w:color w:val="404040"/>
      </w:rPr>
    </w:tblStylePr>
    <w:tblStylePr w:type="lastRow">
      <w:rPr>
        <w:b/>
        <w:color w:val="404040"/>
      </w:rPr>
      <w:tcPr>
        <w:tcBorders>
          <w:top w:val="single" w:color="000000" w:sz="4" w:space="0" w:themeColor="accent1" w:themeTint="EA"/>
        </w:tcBorders>
      </w:tcPr>
    </w:tblStylePr>
  </w:style>
  <w:style w:type="table" w:styleId="76">
    <w:name w:val="Grid Table 4 - Accent 2"/>
    <w:basedOn w:val="807"/>
    <w:uiPriority w:val="5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V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32" w:themeColor="accent2" w:themeTint="32"/>
      </w:tcPr>
    </w:tblStylePr>
    <w:tblStylePr w:type="band1Vert">
      <w:rPr>
        <w:rFonts w:ascii="Arial" w:hAnsi="Arial"/>
        <w:color w:val="404040"/>
        <w:sz w:val="22"/>
      </w:rPr>
      <w:tcPr>
        <w:shd w:val="clear" w:color="FFFFFF" w:themeFill="accent2" w:themeFillTint="32" w:themeColor="accent2" w:themeTint="32"/>
      </w:tcPr>
    </w:tblStylePr>
    <w:tblStylePr w:type="firstCol">
      <w:rPr>
        <w:b/>
        <w:color w:val="404040"/>
      </w:rPr>
    </w:tblStylePr>
    <w:tblStylePr w:type="firstRow">
      <w:rPr>
        <w:rFonts w:ascii="Arial" w:hAnsi="Arial"/>
        <w:b/>
        <w:color w:val="FFFFFF"/>
        <w:sz w:val="22"/>
      </w:rPr>
      <w:tcPr>
        <w:shd w:val="clear" w:color="FFFFFF" w:themeFill="accent2" w:themeFillTint="97" w:themeColor="accent2" w:themeTint="97"/>
        <w:tc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cBorders>
      </w:tcPr>
    </w:tblStylePr>
    <w:tblStylePr w:type="lastCol">
      <w:rPr>
        <w:b/>
        <w:color w:val="404040"/>
      </w:rPr>
    </w:tblStylePr>
    <w:tblStylePr w:type="lastRow">
      <w:rPr>
        <w:b/>
        <w:color w:val="404040"/>
      </w:rPr>
      <w:tcPr>
        <w:tcBorders>
          <w:top w:val="single" w:color="000000" w:sz="4" w:space="0" w:themeColor="accent2" w:themeTint="97"/>
        </w:tcBorders>
      </w:tcPr>
    </w:tblStylePr>
  </w:style>
  <w:style w:type="table" w:styleId="77">
    <w:name w:val="Grid Table 4 - Accent 3"/>
    <w:basedOn w:val="807"/>
    <w:uiPriority w:val="5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V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34" w:themeColor="accent3" w:themeTint="34"/>
      </w:tcPr>
    </w:tblStylePr>
    <w:tblStylePr w:type="band1Vert">
      <w:rPr>
        <w:rFonts w:ascii="Arial" w:hAnsi="Arial"/>
        <w:color w:val="404040"/>
        <w:sz w:val="22"/>
      </w:rPr>
      <w:tcPr>
        <w:shd w:val="clear" w:color="FFFFFF" w:themeFill="accent3" w:themeFillTint="34" w:themeColor="accent3" w:themeTint="34"/>
      </w:tcPr>
    </w:tblStylePr>
    <w:tblStylePr w:type="firstCol">
      <w:rPr>
        <w:b/>
        <w:color w:val="404040"/>
      </w:rPr>
    </w:tblStylePr>
    <w:tblStylePr w:type="firstRow">
      <w:rPr>
        <w:rFonts w:ascii="Arial" w:hAnsi="Arial"/>
        <w:b/>
        <w:color w:val="FFFFFF"/>
        <w:sz w:val="22"/>
      </w:rPr>
      <w:tcPr>
        <w:shd w:val="clear" w:color="FFFFFF" w:themeFill="accent3" w:themeFillTint="FE" w:themeColor="accent3" w:themeTint="FE"/>
        <w:tc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tcBorders>
      </w:tcPr>
    </w:tblStylePr>
    <w:tblStylePr w:type="lastCol">
      <w:rPr>
        <w:b/>
        <w:color w:val="404040"/>
      </w:rPr>
    </w:tblStylePr>
    <w:tblStylePr w:type="lastRow">
      <w:rPr>
        <w:b/>
        <w:color w:val="404040"/>
      </w:rPr>
      <w:tcPr>
        <w:tcBorders>
          <w:top w:val="single" w:color="000000" w:sz="4" w:space="0" w:themeColor="accent3" w:themeTint="FE"/>
        </w:tcBorders>
      </w:tcPr>
    </w:tblStylePr>
  </w:style>
  <w:style w:type="table" w:styleId="78">
    <w:name w:val="Grid Table 4 - Accent 4"/>
    <w:basedOn w:val="807"/>
    <w:uiPriority w:val="5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V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34" w:themeColor="accent4" w:themeTint="34"/>
      </w:tcPr>
    </w:tblStylePr>
    <w:tblStylePr w:type="band1Vert">
      <w:rPr>
        <w:rFonts w:ascii="Arial" w:hAnsi="Arial"/>
        <w:color w:val="404040"/>
        <w:sz w:val="22"/>
      </w:rPr>
      <w:tcPr>
        <w:shd w:val="clear" w:color="FFFFFF" w:themeFill="accent4" w:themeFillTint="34" w:themeColor="accent4" w:themeTint="34"/>
      </w:tcPr>
    </w:tblStylePr>
    <w:tblStylePr w:type="firstCol">
      <w:rPr>
        <w:b/>
        <w:color w:val="404040"/>
      </w:rPr>
    </w:tblStylePr>
    <w:tblStylePr w:type="firstRow">
      <w:rPr>
        <w:rFonts w:ascii="Arial" w:hAnsi="Arial"/>
        <w:b/>
        <w:color w:val="FFFFFF"/>
        <w:sz w:val="22"/>
      </w:rPr>
      <w:tcPr>
        <w:shd w:val="clear" w:color="FFFFFF" w:themeFill="accent4" w:themeFillTint="9A" w:themeColor="accent4" w:themeTint="9A"/>
        <w:tc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cBorders>
      </w:tcPr>
    </w:tblStylePr>
    <w:tblStylePr w:type="lastCol">
      <w:rPr>
        <w:b/>
        <w:color w:val="404040"/>
      </w:rPr>
    </w:tblStylePr>
    <w:tblStylePr w:type="lastRow">
      <w:rPr>
        <w:b/>
        <w:color w:val="404040"/>
      </w:rPr>
      <w:tcPr>
        <w:tcBorders>
          <w:top w:val="single" w:color="000000" w:sz="4" w:space="0" w:themeColor="accent4" w:themeTint="9A"/>
        </w:tcBorders>
      </w:tcPr>
    </w:tblStylePr>
  </w:style>
  <w:style w:type="table" w:styleId="79">
    <w:name w:val="Grid Table 4 - Accent 5"/>
    <w:basedOn w:val="807"/>
    <w:uiPriority w:val="5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34" w:themeColor="accent5" w:themeTint="34"/>
      </w:tcPr>
    </w:tblStylePr>
    <w:tblStylePr w:type="band1Vert">
      <w:rPr>
        <w:rFonts w:ascii="Arial" w:hAnsi="Arial"/>
        <w:color w:val="404040"/>
        <w:sz w:val="22"/>
      </w:rPr>
      <w:tcPr>
        <w:shd w:val="clear" w:color="FFFFFF" w:themeFill="accent5" w:themeFillTint="34" w:themeColor="accent5" w:themeTint="34"/>
      </w:tcPr>
    </w:tblStylePr>
    <w:tblStylePr w:type="firstCol">
      <w:rPr>
        <w:b/>
        <w:color w:val="404040"/>
      </w:rPr>
    </w:tblStylePr>
    <w:tblStylePr w:type="firstRow">
      <w:rPr>
        <w:rFonts w:ascii="Arial" w:hAnsi="Arial"/>
        <w:b/>
        <w:color w:val="FFFFFF"/>
        <w:sz w:val="22"/>
      </w:rPr>
      <w:tcPr>
        <w:shd w:val="clear" w:color="FFFFFF" w:themeFill="accent5" w:themeColor="accent5"/>
        <w:tcBorders>
          <w:left w:val="single" w:color="000000" w:sz="4" w:space="0" w:themeColor="accent5"/>
          <w:top w:val="single" w:color="000000" w:sz="4" w:space="0" w:themeColor="accent5"/>
          <w:right w:val="single" w:color="000000" w:sz="4" w:space="0" w:themeColor="accent5"/>
          <w:bottom w:val="single" w:color="000000" w:sz="4" w:space="0" w:themeColor="accent5"/>
        </w:tcBorders>
      </w:tcPr>
    </w:tblStylePr>
    <w:tblStylePr w:type="lastCol">
      <w:rPr>
        <w:b/>
        <w:color w:val="404040"/>
      </w:rPr>
    </w:tblStylePr>
    <w:tblStylePr w:type="lastRow">
      <w:rPr>
        <w:b/>
        <w:color w:val="404040"/>
      </w:rPr>
      <w:tcPr>
        <w:tcBorders>
          <w:top w:val="single" w:color="000000" w:sz="4" w:space="0" w:themeColor="accent5"/>
        </w:tcBorders>
      </w:tcPr>
    </w:tblStylePr>
  </w:style>
  <w:style w:type="table" w:styleId="80">
    <w:name w:val="Grid Table 4 - Accent 6"/>
    <w:basedOn w:val="807"/>
    <w:uiPriority w:val="5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34" w:themeColor="accent6" w:themeTint="34"/>
      </w:tcPr>
    </w:tblStylePr>
    <w:tblStylePr w:type="band1Vert">
      <w:rPr>
        <w:rFonts w:ascii="Arial" w:hAnsi="Arial"/>
        <w:color w:val="404040"/>
        <w:sz w:val="22"/>
      </w:rPr>
      <w:tcPr>
        <w:shd w:val="clear" w:color="FFFFFF" w:themeFill="accent6" w:themeFillTint="34" w:themeColor="accent6" w:themeTint="34"/>
      </w:tcPr>
    </w:tblStylePr>
    <w:tblStylePr w:type="firstCol">
      <w:rPr>
        <w:b/>
        <w:color w:val="404040"/>
      </w:rPr>
    </w:tblStylePr>
    <w:tblStylePr w:type="firstRow">
      <w:rPr>
        <w:rFonts w:ascii="Arial" w:hAnsi="Arial"/>
        <w:b/>
        <w:color w:val="FFFFFF"/>
        <w:sz w:val="22"/>
      </w:rPr>
      <w:tcPr>
        <w:shd w:val="clear" w:color="FFFFFF" w:themeFill="accent6" w:themeColor="accent6"/>
        <w:tcBorders>
          <w:left w:val="single" w:color="000000" w:sz="4" w:space="0" w:themeColor="accent6"/>
          <w:top w:val="single" w:color="000000" w:sz="4" w:space="0" w:themeColor="accent6"/>
          <w:right w:val="single" w:color="000000" w:sz="4" w:space="0" w:themeColor="accent6"/>
          <w:bottom w:val="single" w:color="000000" w:sz="4" w:space="0" w:themeColor="accent6"/>
        </w:tcBorders>
      </w:tcPr>
    </w:tblStylePr>
    <w:tblStylePr w:type="lastCol">
      <w:rPr>
        <w:b/>
        <w:color w:val="404040"/>
      </w:rPr>
    </w:tblStylePr>
    <w:tblStylePr w:type="lastRow">
      <w:rPr>
        <w:b/>
        <w:color w:val="404040"/>
      </w:rPr>
      <w:tcPr>
        <w:tcBorders>
          <w:top w:val="single" w:color="000000" w:sz="4" w:space="0" w:themeColor="accent6"/>
        </w:tcBorders>
      </w:tcPr>
    </w:tblStylePr>
  </w:style>
  <w:style w:type="table" w:styleId="81">
    <w:name w:val="Grid Table 5 Dark"/>
    <w:basedOn w:val="80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text1" w:themeFillTint="40" w:themeColor="text1" w:themeTint="40"/>
    </w:tblPr>
    <w:tblStylePr w:type="band1Horz">
      <w:tcPr>
        <w:shd w:val="clear" w:color="FFFFFF" w:themeFill="text1" w:themeFillTint="75" w:themeColor="text1" w:themeTint="75"/>
      </w:tcPr>
    </w:tblStylePr>
    <w:tblStylePr w:type="band1Vert">
      <w:tcPr>
        <w:shd w:val="clear" w:color="FFFFFF" w:themeFill="text1" w:themeFillTint="75" w:themeColor="text1" w:themeTint="75"/>
      </w:tcPr>
    </w:tblStylePr>
    <w:tblStylePr w:type="firstCol">
      <w:rPr>
        <w:rFonts w:ascii="Arial" w:hAnsi="Arial"/>
        <w:b/>
        <w:color w:val="FFFFFF"/>
        <w:sz w:val="22"/>
      </w:rPr>
      <w:tcPr>
        <w:shd w:val="clear" w:color="FFFFFF" w:themeFill="text1" w:themeColor="text1"/>
      </w:tcPr>
    </w:tblStylePr>
    <w:tblStylePr w:type="firstRow">
      <w:rPr>
        <w:rFonts w:ascii="Arial" w:hAnsi="Arial"/>
        <w:b/>
        <w:color w:val="FFFFFF"/>
        <w:sz w:val="22"/>
      </w:rPr>
      <w:tcPr>
        <w:shd w:val="clear" w:color="FFFFFF" w:themeFill="text1" w:themeColor="text1"/>
      </w:tcPr>
    </w:tblStylePr>
    <w:tblStylePr w:type="lastCol">
      <w:rPr>
        <w:rFonts w:ascii="Arial" w:hAnsi="Arial"/>
        <w:b/>
        <w:color w:val="FFFFFF"/>
        <w:sz w:val="22"/>
      </w:rPr>
      <w:tcPr>
        <w:shd w:val="clear" w:color="FFFFFF" w:themeFill="text1" w:themeColor="text1"/>
      </w:tcPr>
    </w:tblStylePr>
    <w:tblStylePr w:type="lastRow">
      <w:rPr>
        <w:rFonts w:ascii="Arial" w:hAnsi="Arial"/>
        <w:b/>
        <w:color w:val="FFFFFF"/>
        <w:sz w:val="22"/>
      </w:rPr>
      <w:tcPr>
        <w:shd w:val="clear" w:color="FFFFFF" w:themeFill="text1" w:themeColor="text1"/>
        <w:tcBorders>
          <w:top w:val="single" w:color="000000" w:sz="4" w:space="0" w:themeColor="light1"/>
        </w:tcBorders>
      </w:tcPr>
    </w:tblStylePr>
  </w:style>
  <w:style w:type="table" w:styleId="82">
    <w:name w:val="Grid Table 5 Dark- Accent 1"/>
    <w:basedOn w:val="80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1" w:themeFillTint="34" w:themeColor="accent1" w:themeTint="34"/>
    </w:tblPr>
    <w:tblStylePr w:type="band1Horz">
      <w:tcPr>
        <w:shd w:val="clear" w:color="FFFFFF" w:themeFill="accent1" w:themeFillTint="75" w:themeColor="accent1" w:themeTint="75"/>
      </w:tcPr>
    </w:tblStylePr>
    <w:tblStylePr w:type="band1Vert">
      <w:tcPr>
        <w:shd w:val="clear" w:color="FFFFFF" w:themeFill="accent1" w:themeFillTint="75" w:themeColor="accent1" w:themeTint="75"/>
      </w:tcPr>
    </w:tblStylePr>
    <w:tblStylePr w:type="firstCol">
      <w:rPr>
        <w:rFonts w:ascii="Arial" w:hAnsi="Arial"/>
        <w:b/>
        <w:color w:val="FFFFFF"/>
        <w:sz w:val="22"/>
      </w:rPr>
      <w:tcPr>
        <w:shd w:val="clear" w:color="FFFFFF" w:themeFill="accent1" w:themeColor="accent1"/>
      </w:tcPr>
    </w:tblStylePr>
    <w:tblStylePr w:type="firstRow">
      <w:rPr>
        <w:rFonts w:ascii="Arial" w:hAnsi="Arial"/>
        <w:b/>
        <w:color w:val="FFFFFF"/>
        <w:sz w:val="22"/>
      </w:rPr>
      <w:tcPr>
        <w:shd w:val="clear" w:color="FFFFFF" w:themeFill="accent1" w:themeColor="accent1"/>
      </w:tcPr>
    </w:tblStylePr>
    <w:tblStylePr w:type="lastCol">
      <w:rPr>
        <w:rFonts w:ascii="Arial" w:hAnsi="Arial"/>
        <w:b/>
        <w:color w:val="FFFFFF"/>
        <w:sz w:val="22"/>
      </w:rPr>
      <w:tcPr>
        <w:shd w:val="clear" w:color="FFFFFF" w:themeFill="accent1" w:themeColor="accent1"/>
      </w:tcPr>
    </w:tblStylePr>
    <w:tblStylePr w:type="lastRow">
      <w:rPr>
        <w:rFonts w:ascii="Arial" w:hAnsi="Arial"/>
        <w:b/>
        <w:color w:val="FFFFFF"/>
        <w:sz w:val="22"/>
      </w:rPr>
      <w:tcPr>
        <w:shd w:val="clear" w:color="FFFFFF" w:themeFill="accent1" w:themeColor="accent1"/>
        <w:tcBorders>
          <w:top w:val="single" w:color="000000" w:sz="4" w:space="0" w:themeColor="light1"/>
        </w:tcBorders>
      </w:tcPr>
    </w:tblStylePr>
  </w:style>
  <w:style w:type="table" w:styleId="83">
    <w:name w:val="Grid Table 5 Dark - Accent 2"/>
    <w:basedOn w:val="80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2" w:themeFillTint="32" w:themeColor="accent2" w:themeTint="32"/>
    </w:tblPr>
    <w:tblStylePr w:type="band1Horz">
      <w:tcPr>
        <w:shd w:val="clear" w:color="FFFFFF" w:themeFill="accent2" w:themeFillTint="75" w:themeColor="accent2" w:themeTint="75"/>
      </w:tcPr>
    </w:tblStylePr>
    <w:tblStylePr w:type="band1Vert">
      <w:tcPr>
        <w:shd w:val="clear" w:color="FFFFFF" w:themeFill="accent2" w:themeFillTint="75" w:themeColor="accent2" w:themeTint="75"/>
      </w:tcPr>
    </w:tblStylePr>
    <w:tblStylePr w:type="firstCol">
      <w:rPr>
        <w:rFonts w:ascii="Arial" w:hAnsi="Arial"/>
        <w:b/>
        <w:color w:val="FFFFFF"/>
        <w:sz w:val="22"/>
      </w:rPr>
      <w:tcPr>
        <w:shd w:val="clear" w:color="FFFFFF" w:themeFill="accent2" w:themeColor="accent2"/>
      </w:tcPr>
    </w:tblStylePr>
    <w:tblStylePr w:type="firstRow">
      <w:rPr>
        <w:rFonts w:ascii="Arial" w:hAnsi="Arial"/>
        <w:b/>
        <w:color w:val="FFFFFF"/>
        <w:sz w:val="22"/>
      </w:rPr>
      <w:tcPr>
        <w:shd w:val="clear" w:color="FFFFFF" w:themeFill="accent2" w:themeColor="accent2"/>
      </w:tcPr>
    </w:tblStylePr>
    <w:tblStylePr w:type="lastCol">
      <w:rPr>
        <w:rFonts w:ascii="Arial" w:hAnsi="Arial"/>
        <w:b/>
        <w:color w:val="FFFFFF"/>
        <w:sz w:val="22"/>
      </w:rPr>
      <w:tcPr>
        <w:shd w:val="clear" w:color="FFFFFF" w:themeFill="accent2" w:themeColor="accent2"/>
      </w:tcPr>
    </w:tblStylePr>
    <w:tblStylePr w:type="lastRow">
      <w:rPr>
        <w:rFonts w:ascii="Arial" w:hAnsi="Arial"/>
        <w:b/>
        <w:color w:val="FFFFFF"/>
        <w:sz w:val="22"/>
      </w:rPr>
      <w:tcPr>
        <w:shd w:val="clear" w:color="FFFFFF" w:themeFill="accent2" w:themeColor="accent2"/>
        <w:tcBorders>
          <w:top w:val="single" w:color="000000" w:sz="4" w:space="0" w:themeColor="light1"/>
        </w:tcBorders>
      </w:tcPr>
    </w:tblStylePr>
  </w:style>
  <w:style w:type="table" w:styleId="84">
    <w:name w:val="Grid Table 5 Dark - Accent 3"/>
    <w:basedOn w:val="80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3" w:themeFillTint="34" w:themeColor="accent3" w:themeTint="34"/>
    </w:tblPr>
    <w:tblStylePr w:type="band1Horz">
      <w:tcPr>
        <w:shd w:val="clear" w:color="FFFFFF" w:themeFill="accent3" w:themeFillTint="75" w:themeColor="accent3" w:themeTint="75"/>
      </w:tcPr>
    </w:tblStylePr>
    <w:tblStylePr w:type="band1Vert">
      <w:tcPr>
        <w:shd w:val="clear" w:color="FFFFFF" w:themeFill="accent3" w:themeFillTint="75" w:themeColor="accent3" w:themeTint="75"/>
      </w:tcPr>
    </w:tblStylePr>
    <w:tblStylePr w:type="firstCol">
      <w:rPr>
        <w:rFonts w:ascii="Arial" w:hAnsi="Arial"/>
        <w:b/>
        <w:color w:val="FFFFFF"/>
        <w:sz w:val="22"/>
      </w:rPr>
      <w:tcPr>
        <w:shd w:val="clear" w:color="FFFFFF" w:themeFill="accent3" w:themeColor="accent3"/>
      </w:tcPr>
    </w:tblStylePr>
    <w:tblStylePr w:type="firstRow">
      <w:rPr>
        <w:rFonts w:ascii="Arial" w:hAnsi="Arial"/>
        <w:b/>
        <w:color w:val="FFFFFF"/>
        <w:sz w:val="22"/>
      </w:rPr>
      <w:tcPr>
        <w:shd w:val="clear" w:color="FFFFFF" w:themeFill="accent3" w:themeColor="accent3"/>
      </w:tcPr>
    </w:tblStylePr>
    <w:tblStylePr w:type="lastCol">
      <w:rPr>
        <w:rFonts w:ascii="Arial" w:hAnsi="Arial"/>
        <w:b/>
        <w:color w:val="FFFFFF"/>
        <w:sz w:val="22"/>
      </w:rPr>
      <w:tcPr>
        <w:shd w:val="clear" w:color="FFFFFF" w:themeFill="accent3" w:themeColor="accent3"/>
      </w:tcPr>
    </w:tblStylePr>
    <w:tblStylePr w:type="lastRow">
      <w:rPr>
        <w:rFonts w:ascii="Arial" w:hAnsi="Arial"/>
        <w:b/>
        <w:color w:val="FFFFFF"/>
        <w:sz w:val="22"/>
      </w:rPr>
      <w:tcPr>
        <w:shd w:val="clear" w:color="FFFFFF" w:themeFill="accent3" w:themeColor="accent3"/>
        <w:tcBorders>
          <w:top w:val="single" w:color="000000" w:sz="4" w:space="0" w:themeColor="light1"/>
        </w:tcBorders>
      </w:tcPr>
    </w:tblStylePr>
  </w:style>
  <w:style w:type="table" w:styleId="85">
    <w:name w:val="Grid Table 5 Dark- Accent 4"/>
    <w:basedOn w:val="80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4" w:themeFillTint="34" w:themeColor="accent4" w:themeTint="34"/>
    </w:tblPr>
    <w:tblStylePr w:type="band1Horz">
      <w:tcPr>
        <w:shd w:val="clear" w:color="FFFFFF" w:themeFill="accent4" w:themeFillTint="75" w:themeColor="accent4" w:themeTint="75"/>
      </w:tcPr>
    </w:tblStylePr>
    <w:tblStylePr w:type="band1Vert">
      <w:tcPr>
        <w:shd w:val="clear" w:color="FFFFFF" w:themeFill="accent4" w:themeFillTint="75" w:themeColor="accent4" w:themeTint="75"/>
      </w:tcPr>
    </w:tblStylePr>
    <w:tblStylePr w:type="firstCol">
      <w:rPr>
        <w:rFonts w:ascii="Arial" w:hAnsi="Arial"/>
        <w:b/>
        <w:color w:val="FFFFFF"/>
        <w:sz w:val="22"/>
      </w:rPr>
      <w:tcPr>
        <w:shd w:val="clear" w:color="FFFFFF" w:themeFill="accent4" w:themeColor="accent4"/>
      </w:tcPr>
    </w:tblStylePr>
    <w:tblStylePr w:type="firstRow">
      <w:rPr>
        <w:rFonts w:ascii="Arial" w:hAnsi="Arial"/>
        <w:b/>
        <w:color w:val="FFFFFF"/>
        <w:sz w:val="22"/>
      </w:rPr>
      <w:tcPr>
        <w:shd w:val="clear" w:color="FFFFFF" w:themeFill="accent4" w:themeColor="accent4"/>
      </w:tcPr>
    </w:tblStylePr>
    <w:tblStylePr w:type="lastCol">
      <w:rPr>
        <w:rFonts w:ascii="Arial" w:hAnsi="Arial"/>
        <w:b/>
        <w:color w:val="FFFFFF"/>
        <w:sz w:val="22"/>
      </w:rPr>
      <w:tcPr>
        <w:shd w:val="clear" w:color="FFFFFF" w:themeFill="accent4" w:themeColor="accent4"/>
      </w:tcPr>
    </w:tblStylePr>
    <w:tblStylePr w:type="lastRow">
      <w:rPr>
        <w:rFonts w:ascii="Arial" w:hAnsi="Arial"/>
        <w:b/>
        <w:color w:val="FFFFFF"/>
        <w:sz w:val="22"/>
      </w:rPr>
      <w:tcPr>
        <w:shd w:val="clear" w:color="FFFFFF" w:themeFill="accent4" w:themeColor="accent4"/>
        <w:tcBorders>
          <w:top w:val="single" w:color="000000" w:sz="4" w:space="0" w:themeColor="light1"/>
        </w:tcBorders>
      </w:tcPr>
    </w:tblStylePr>
  </w:style>
  <w:style w:type="table" w:styleId="86">
    <w:name w:val="Grid Table 5 Dark - Accent 5"/>
    <w:basedOn w:val="80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5" w:themeFillTint="34" w:themeColor="accent5" w:themeTint="34"/>
    </w:tblPr>
    <w:tblStylePr w:type="band1Horz">
      <w:tcPr>
        <w:shd w:val="clear" w:color="FFFFFF" w:themeFill="accent5" w:themeFillTint="75" w:themeColor="accent5" w:themeTint="75"/>
      </w:tcPr>
    </w:tblStylePr>
    <w:tblStylePr w:type="band1Vert">
      <w:tcPr>
        <w:shd w:val="clear" w:color="FFFFFF" w:themeFill="accent5" w:themeFillTint="75" w:themeColor="accent5" w:themeTint="75"/>
      </w:tcPr>
    </w:tblStylePr>
    <w:tblStylePr w:type="firstCol">
      <w:rPr>
        <w:rFonts w:ascii="Arial" w:hAnsi="Arial"/>
        <w:b/>
        <w:color w:val="FFFFFF"/>
        <w:sz w:val="22"/>
      </w:rPr>
      <w:tcPr>
        <w:shd w:val="clear" w:color="FFFFFF" w:themeFill="accent5" w:themeColor="accent5"/>
      </w:tcPr>
    </w:tblStylePr>
    <w:tblStylePr w:type="firstRow">
      <w:rPr>
        <w:rFonts w:ascii="Arial" w:hAnsi="Arial"/>
        <w:b/>
        <w:color w:val="FFFFFF"/>
        <w:sz w:val="22"/>
      </w:rPr>
      <w:tcPr>
        <w:shd w:val="clear" w:color="FFFFFF" w:themeFill="accent5" w:themeColor="accent5"/>
      </w:tcPr>
    </w:tblStylePr>
    <w:tblStylePr w:type="lastCol">
      <w:rPr>
        <w:rFonts w:ascii="Arial" w:hAnsi="Arial"/>
        <w:b/>
        <w:color w:val="FFFFFF"/>
        <w:sz w:val="22"/>
      </w:rPr>
      <w:tcPr>
        <w:shd w:val="clear" w:color="FFFFFF" w:themeFill="accent5" w:themeColor="accent5"/>
      </w:tcPr>
    </w:tblStylePr>
    <w:tblStylePr w:type="lastRow">
      <w:rPr>
        <w:rFonts w:ascii="Arial" w:hAnsi="Arial"/>
        <w:b/>
        <w:color w:val="FFFFFF"/>
        <w:sz w:val="22"/>
      </w:rPr>
      <w:tcPr>
        <w:shd w:val="clear" w:color="FFFFFF" w:themeFill="accent5" w:themeColor="accent5"/>
        <w:tcBorders>
          <w:top w:val="single" w:color="000000" w:sz="4" w:space="0" w:themeColor="light1"/>
        </w:tcBorders>
      </w:tcPr>
    </w:tblStylePr>
  </w:style>
  <w:style w:type="table" w:styleId="87">
    <w:name w:val="Grid Table 5 Dark - Accent 6"/>
    <w:basedOn w:val="807"/>
    <w:uiPriority w:val="99"/>
    <w:pPr>
      <w:spacing w:lineRule="auto" w:line="240" w:after="0"/>
    </w:pPr>
    <w:tblPr>
      <w:tblStyleRowBandSize w:val="1"/>
      <w:tblStyleColBandSize w:val="1"/>
      <w:tblInd w:w="0" w:type="dxa"/>
      <w:tblBorders>
        <w:left w:val="single" w:color="000000" w:sz="4" w:space="0" w:themeColor="light1"/>
        <w:top w:val="single" w:color="000000" w:sz="4" w:space="0" w:themeColor="light1"/>
        <w:right w:val="single" w:color="000000" w:sz="4" w:space="0" w:themeColor="light1"/>
        <w:bottom w:val="single" w:color="000000" w:sz="4" w:space="0" w:themeColor="light1"/>
        <w:insideV w:val="single" w:color="000000" w:sz="4" w:space="0" w:themeColor="light1"/>
        <w:insideH w:val="single" w:color="000000" w:sz="4" w:space="0" w:themeColor="light1"/>
      </w:tblBorders>
      <w:shd w:val="clear" w:color="FFFFFF" w:themeFill="accent6" w:themeFillTint="34" w:themeColor="accent6" w:themeTint="34"/>
    </w:tblPr>
    <w:tblStylePr w:type="band1Horz">
      <w:tcPr>
        <w:shd w:val="clear" w:color="FFFFFF" w:themeFill="accent6" w:themeFillTint="75" w:themeColor="accent6" w:themeTint="75"/>
      </w:tcPr>
    </w:tblStylePr>
    <w:tblStylePr w:type="band1Vert">
      <w:tcPr>
        <w:shd w:val="clear" w:color="FFFFFF" w:themeFill="accent6" w:themeFillTint="75" w:themeColor="accent6" w:themeTint="75"/>
      </w:tcPr>
    </w:tblStylePr>
    <w:tblStylePr w:type="firstCol">
      <w:rPr>
        <w:rFonts w:ascii="Arial" w:hAnsi="Arial"/>
        <w:b/>
        <w:color w:val="FFFFFF"/>
        <w:sz w:val="22"/>
      </w:rPr>
      <w:tcPr>
        <w:shd w:val="clear" w:color="FFFFFF" w:themeFill="accent6" w:themeColor="accent6"/>
      </w:tcPr>
    </w:tblStylePr>
    <w:tblStylePr w:type="firstRow">
      <w:rPr>
        <w:rFonts w:ascii="Arial" w:hAnsi="Arial"/>
        <w:b/>
        <w:color w:val="FFFFFF"/>
        <w:sz w:val="22"/>
      </w:rPr>
      <w:tcPr>
        <w:shd w:val="clear" w:color="FFFFFF" w:themeFill="accent6" w:themeColor="accent6"/>
      </w:tcPr>
    </w:tblStylePr>
    <w:tblStylePr w:type="lastCol">
      <w:rPr>
        <w:rFonts w:ascii="Arial" w:hAnsi="Arial"/>
        <w:b/>
        <w:color w:val="FFFFFF"/>
        <w:sz w:val="22"/>
      </w:rPr>
      <w:tcPr>
        <w:shd w:val="clear" w:color="FFFFFF" w:themeFill="accent6" w:themeColor="accent6"/>
      </w:tcPr>
    </w:tblStylePr>
    <w:tblStylePr w:type="lastRow">
      <w:rPr>
        <w:rFonts w:ascii="Arial" w:hAnsi="Arial"/>
        <w:b/>
        <w:color w:val="FFFFFF"/>
        <w:sz w:val="22"/>
      </w:rPr>
      <w:tcPr>
        <w:shd w:val="clear" w:color="FFFFFF" w:themeFill="accent6" w:themeColor="accent6"/>
        <w:tcBorders>
          <w:top w:val="single" w:color="000000" w:sz="4" w:space="0" w:themeColor="light1"/>
        </w:tcBorders>
      </w:tcPr>
    </w:tblStylePr>
  </w:style>
  <w:style w:type="table" w:styleId="88">
    <w:name w:val="Grid Table 6 Colorful"/>
    <w:basedOn w:val="807"/>
    <w:uiPriority w:val="99"/>
    <w:pPr>
      <w:spacing w:lineRule="auto" w:line="240" w:after="0"/>
    </w:pPr>
    <w:tblPr>
      <w:tblStyleRowBandSize w:val="1"/>
      <w:tblStyleColBandSize w:val="1"/>
      <w:tblInd w:w="0" w:type="dxa"/>
      <w:tblBorders>
        <w:left w:val="single" w:color="000000" w:sz="4" w:space="0" w:themeColor="text1" w:themeTint="80"/>
        <w:top w:val="single" w:color="000000" w:sz="4" w:space="0" w:themeColor="text1" w:themeTint="80"/>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04040" w:themeColor="text1" w:themeTint="80" w:themeShade="95"/>
        <w:sz w:val="22"/>
      </w:rPr>
      <w:tcPr>
        <w:shd w:val="clear" w:color="FFFFFF" w:themeFill="text1" w:themeFillTint="34" w:themeColor="text1" w:themeTint="34"/>
      </w:tcPr>
    </w:tblStylePr>
    <w:tblStylePr w:type="band1Vert">
      <w:tcPr>
        <w:shd w:val="clear" w:color="FFFFFF" w:themeFill="text1" w:themeFillTint="34" w:themeColor="text1" w:theme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sz="12" w:space="0" w:themeColor="text1" w:themeTint="8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
    <w:name w:val="Grid Table 6 Colorful - Accent 1"/>
    <w:basedOn w:val="807"/>
    <w:uiPriority w:val="99"/>
    <w:pPr>
      <w:spacing w:lineRule="auto" w:line="240" w:after="0"/>
    </w:pPr>
    <w:tblPr>
      <w:tblStyleRowBandSize w:val="1"/>
      <w:tblStyleColBandSize w:val="1"/>
      <w:tblInd w:w="0" w:type="dxa"/>
      <w:tblBorders>
        <w:left w:val="single" w:color="000000" w:sz="4" w:space="0" w:themeColor="accent1" w:themeTint="80"/>
        <w:top w:val="single" w:color="000000" w:sz="4" w:space="0" w:themeColor="accent1" w:themeTint="80"/>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404040" w:themeColor="accent1" w:themeTint="80" w:themeShade="95"/>
        <w:sz w:val="22"/>
      </w:rPr>
      <w:tcPr>
        <w:shd w:val="clear" w:color="FFFFFF" w:themeFill="accent1" w:themeFillTint="34" w:themeColor="accent1" w:themeTint="34"/>
      </w:tcPr>
    </w:tblStylePr>
    <w:tblStylePr w:type="band1Vert">
      <w:tcPr>
        <w:shd w:val="clear" w:color="FFFFFF" w:themeFill="accent1" w:themeFillTint="34" w:themeColor="accent1" w:theme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sz="12" w:space="0" w:themeColor="accent1" w:themeTint="8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
    <w:name w:val="Grid Table 6 Colorful - Accent 2"/>
    <w:basedOn w:val="807"/>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404040" w:themeColor="accent2" w:themeTint="97" w:themeShade="95"/>
        <w:sz w:val="22"/>
      </w:rPr>
      <w:tcPr>
        <w:shd w:val="clear" w:color="FFFFFF" w:themeFill="accent2" w:themeFillTint="32" w:themeColor="accent2" w:themeTint="32"/>
      </w:tcPr>
    </w:tblStylePr>
    <w:tblStylePr w:type="band1Vert">
      <w:tcPr>
        <w:shd w:val="clear" w:color="FFFFFF" w:themeFill="accent2" w:themeFillTint="32" w:themeColor="accent2" w:theme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12"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
    <w:name w:val="Grid Table 6 Colorful - Accent 3"/>
    <w:basedOn w:val="807"/>
    <w:uiPriority w:val="99"/>
    <w:pPr>
      <w:spacing w:lineRule="auto" w:line="240" w:after="0"/>
    </w:pPr>
    <w:tblPr>
      <w:tblStyleRowBandSize w:val="1"/>
      <w:tblStyleColBandSize w:val="1"/>
      <w:tblInd w:w="0" w:type="dxa"/>
      <w:tblBorders>
        <w:left w:val="single" w:color="000000" w:sz="4" w:space="0" w:themeColor="accent3" w:themeTint="FE"/>
        <w:top w:val="single" w:color="000000" w:sz="4" w:space="0" w:themeColor="accent3" w:themeTint="FE"/>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404040" w:themeColor="accent3" w:themeTint="FE" w:themeShade="95"/>
        <w:sz w:val="22"/>
      </w:rPr>
      <w:tcPr>
        <w:shd w:val="clear" w:color="FFFFFF" w:themeFill="accent3" w:themeFillTint="34" w:themeColor="accent3" w:themeTint="34"/>
      </w:tcPr>
    </w:tblStylePr>
    <w:tblStylePr w:type="band1Vert">
      <w:tcPr>
        <w:shd w:val="clear" w:color="FFFFFF" w:themeFill="accent3" w:themeFillTint="34" w:themeColor="accent3" w:theme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sz="12" w:space="0" w:themeColor="accent3" w:themeTint="FE"/>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
    <w:name w:val="Grid Table 6 Colorful - Accent 4"/>
    <w:basedOn w:val="807"/>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404040" w:themeColor="accent4" w:themeTint="9A" w:themeShade="95"/>
        <w:sz w:val="22"/>
      </w:rPr>
      <w:tcPr>
        <w:shd w:val="clear" w:color="FFFFFF" w:themeFill="accent4" w:themeFillTint="34" w:themeColor="accent4" w:themeTint="34"/>
      </w:tcPr>
    </w:tblStylePr>
    <w:tblStylePr w:type="band1Vert">
      <w:tcPr>
        <w:shd w:val="clear" w:color="FFFFFF" w:themeFill="accent4" w:themeFillTint="34" w:themeColor="accent4" w:theme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12"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
    <w:name w:val="Grid Table 6 Colorful - Accent 5"/>
    <w:basedOn w:val="807"/>
    <w:uiPriority w:val="99"/>
    <w:pPr>
      <w:spacing w:lineRule="auto" w:line="240" w:after="0"/>
    </w:pPr>
    <w:tblPr>
      <w:tblStyleRowBandSize w:val="1"/>
      <w:tblStyleColBandSize w:val="1"/>
      <w:tblInd w:w="0" w:type="dxa"/>
      <w:tblBorders>
        <w:left w:val="single" w:color="000000" w:sz="4" w:space="0" w:themeColor="accent5"/>
        <w:top w:val="single" w:color="000000" w:sz="4" w:space="0" w:themeColor="accent5"/>
        <w:right w:val="single" w:color="000000" w:sz="4" w:space="0" w:themeColor="accent5"/>
        <w:bottom w:val="single" w:color="000000" w:sz="4" w:space="0" w:themeColor="accent5"/>
        <w:insideV w:val="single" w:color="000000" w:sz="4" w:space="0" w:themeColor="accent5"/>
        <w:insideH w:val="single" w:color="000000" w:sz="4" w:space="0" w:themeColor="accent5"/>
      </w:tblBorders>
    </w:tblPr>
    <w:tblStylePr w:type="band1Horz">
      <w:rPr>
        <w:rFonts w:ascii="Arial" w:hAnsi="Arial"/>
        <w:color w:val="404040" w:themeColor="accent5" w:themeShade="95"/>
        <w:sz w:val="22"/>
      </w:rPr>
      <w:tcPr>
        <w:shd w:val="clear" w:color="FFFFFF" w:themeFill="accent5" w:themeFillTint="34" w:themeColor="accent5" w:themeTint="34"/>
      </w:tcPr>
    </w:tblStylePr>
    <w:tblStylePr w:type="band1Vert">
      <w:tcPr>
        <w:shd w:val="clear" w:color="FFFFFF" w:themeFill="accent5" w:themeFillTint="34" w:themeColor="accent5"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5"/>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
    <w:name w:val="Grid Table 6 Colorful - Accent 6"/>
    <w:basedOn w:val="807"/>
    <w:uiPriority w:val="99"/>
    <w:pPr>
      <w:spacing w:lineRule="auto" w:line="240" w:after="0"/>
    </w:pPr>
    <w:tblPr>
      <w:tblStyleRowBandSize w:val="1"/>
      <w:tblStyleColBandSize w:val="1"/>
      <w:tblInd w:w="0" w:type="dxa"/>
      <w:tblBorders>
        <w:left w:val="single" w:color="000000" w:sz="4" w:space="0" w:themeColor="accent6"/>
        <w:top w:val="single" w:color="000000" w:sz="4" w:space="0" w:themeColor="accent6"/>
        <w:right w:val="single" w:color="000000" w:sz="4" w:space="0" w:themeColor="accent6"/>
        <w:bottom w:val="single" w:color="000000" w:sz="4" w:space="0" w:themeColor="accent6"/>
        <w:insideV w:val="single" w:color="000000" w:sz="4" w:space="0" w:themeColor="accent6"/>
        <w:insideH w:val="single" w:color="000000" w:sz="4" w:space="0" w:themeColor="accent6"/>
      </w:tblBorders>
    </w:tblPr>
    <w:tblStylePr w:type="band1Horz">
      <w:rPr>
        <w:rFonts w:ascii="Arial" w:hAnsi="Arial"/>
        <w:color w:val="404040" w:themeColor="accent5" w:themeShade="95"/>
        <w:sz w:val="22"/>
      </w:rPr>
      <w:tcPr>
        <w:shd w:val="clear" w:color="FFFFFF" w:themeFill="accent6" w:themeFillTint="34" w:themeColor="accent6" w:themeTint="34"/>
      </w:tcPr>
    </w:tblStylePr>
    <w:tblStylePr w:type="band1Vert">
      <w:tcPr>
        <w:shd w:val="clear" w:color="FFFFFF" w:themeFill="accent6" w:themeFillTint="34" w:themeColor="accent6" w:theme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sz="12" w:space="0" w:themeColor="accent6"/>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7 Colorful"/>
    <w:basedOn w:val="807"/>
    <w:uiPriority w:val="99"/>
    <w:pPr>
      <w:spacing w:lineRule="auto" w:line="240" w:after="0"/>
    </w:pPr>
    <w:tblPr>
      <w:tblStyleRowBandSize w:val="1"/>
      <w:tblStyleColBandSize w:val="1"/>
      <w:tblInd w:w="0" w:type="dxa"/>
      <w:tblBorders>
        <w:right w:val="single" w:color="000000" w:sz="4" w:space="0" w:themeColor="text1" w:themeTint="80"/>
        <w:bottom w:val="single" w:color="000000" w:sz="4" w:space="0" w:themeColor="text1" w:themeTint="80"/>
        <w:insideV w:val="single" w:color="000000" w:sz="4" w:space="0" w:themeColor="text1" w:themeTint="80"/>
        <w:insideH w:val="single" w:color="000000" w:sz="4" w:space="0" w:themeColor="text1" w:themeTint="80"/>
      </w:tblBorders>
    </w:tblPr>
    <w:tblStylePr w:type="band1Horz">
      <w:rPr>
        <w:rFonts w:ascii="Arial" w:hAnsi="Arial"/>
        <w:color w:val="4A4A4A" w:themeColor="text1" w:themeTint="80" w:themeShade="95"/>
        <w:sz w:val="22"/>
      </w:rPr>
      <w:tcPr>
        <w:shd w:val="clear" w:color="FFFFFF" w:themeFill="text1" w:themeFillTint="0D" w:themeColor="text1" w:themeTint="0D"/>
      </w:tcPr>
    </w:tblStylePr>
    <w:tblStylePr w:type="band1Vert">
      <w:tcPr>
        <w:shd w:val="clear" w:color="FFFFFF" w:themeFill="text1" w:themeFillTint="0D" w:themeColor="text1" w:theme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b/>
        <w:color w:val="4A4A4A" w:themeColor="text1" w:themeTint="80" w:themeShade="95"/>
        <w:sz w:val="22"/>
      </w:rPr>
      <w:tcPr>
        <w:shd w:val="clear" w:color="FFFFFF" w:themeFill="light1"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b/>
        <w:color w:val="4A4A4A" w:themeColor="text1" w:themeTint="80" w:themeShade="95"/>
        <w:sz w:val="22"/>
      </w:rPr>
      <w:tcPr>
        <w:shd w:val="clear" w:color="FFFFFF" w:themeFill="light1" w:themeColor="light1"/>
        <w:tcBorders>
          <w:left w:val="none"/>
          <w:top w:val="single" w:color="000000" w:sz="4" w:space="0" w:themeColor="text1" w:themeTint="80"/>
          <w:right w:val="none"/>
          <w:bottom w:val="none"/>
        </w:tcBorders>
      </w:tcPr>
    </w:tblStylePr>
  </w:style>
  <w:style w:type="table" w:styleId="96">
    <w:name w:val="Grid Table 7 Colorful - Accent 1"/>
    <w:basedOn w:val="807"/>
    <w:uiPriority w:val="99"/>
    <w:pPr>
      <w:spacing w:lineRule="auto" w:line="240" w:after="0"/>
    </w:pPr>
    <w:tblPr>
      <w:tblStyleRowBandSize w:val="1"/>
      <w:tblStyleColBandSize w:val="1"/>
      <w:tblInd w:w="0" w:type="dxa"/>
      <w:tblBorders>
        <w:right w:val="single" w:color="000000" w:sz="4" w:space="0" w:themeColor="accent1" w:themeTint="80"/>
        <w:bottom w:val="single" w:color="000000" w:sz="4" w:space="0" w:themeColor="accent1" w:themeTint="80"/>
        <w:insideV w:val="single" w:color="000000" w:sz="4" w:space="0" w:themeColor="accent1" w:themeTint="80"/>
        <w:insideH w:val="single" w:color="000000" w:sz="4" w:space="0" w:themeColor="accent1" w:themeTint="80"/>
      </w:tblBorders>
    </w:tblPr>
    <w:tblStylePr w:type="band1Horz">
      <w:rPr>
        <w:rFonts w:ascii="Arial" w:hAnsi="Arial"/>
        <w:color w:val="3E70A3" w:themeColor="accent1" w:themeTint="80" w:themeShade="95"/>
        <w:sz w:val="22"/>
      </w:rPr>
      <w:tcPr>
        <w:shd w:val="clear" w:color="FFFFFF" w:themeFill="accent1" w:themeFillTint="34" w:themeColor="accent1" w:themeTint="34"/>
      </w:tcPr>
    </w:tblStylePr>
    <w:tblStylePr w:type="band1Vert">
      <w:tcPr>
        <w:shd w:val="clear" w:color="FFFFFF" w:themeFill="accent1" w:themeFillTint="34" w:themeColor="accent1" w:theme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left w:val="none"/>
          <w:top w:val="none"/>
          <w:right w:val="single" w:color="000000" w:sz="4" w:space="0" w:themeColor="accent1" w:themeTint="80"/>
          <w:bottom w:val="none"/>
        </w:tcBorders>
      </w:tcPr>
    </w:tblStylePr>
    <w:tblStylePr w:type="firstRow">
      <w:rPr>
        <w:rFonts w:ascii="Arial" w:hAnsi="Arial"/>
        <w:b/>
        <w:color w:val="3E70A3" w:themeColor="accent1" w:themeTint="80" w:themeShade="95"/>
        <w:sz w:val="22"/>
      </w:rPr>
      <w:tcPr>
        <w:shd w:val="clear" w:color="FFFFFF" w:themeFill="light1" w:themeColor="light1"/>
        <w:tcBorders>
          <w:left w:val="none"/>
          <w:top w:val="none"/>
          <w:right w:val="none"/>
          <w:bottom w:val="single" w:color="000000" w:sz="4" w:space="0" w:themeColor="accent1" w:themeTint="80"/>
        </w:tcBorders>
      </w:tcPr>
    </w:tblStylePr>
    <w:tblStylePr w:type="lastCol">
      <w:rPr>
        <w:rFonts w:ascii="Arial" w:hAnsi="Arial"/>
        <w:i/>
        <w:color w:val="3E70A3" w:themeColor="accent1" w:themeTint="80" w:themeShade="95"/>
        <w:sz w:val="22"/>
      </w:rPr>
      <w:tcPr>
        <w:shd w:color="FFFFFF"/>
        <w:tcBorders>
          <w:left w:val="single" w:color="000000" w:sz="4" w:space="0" w:themeColor="accent1" w:themeTint="80"/>
          <w:top w:val="none"/>
          <w:right w:val="none"/>
          <w:bottom w:val="none"/>
        </w:tcBorders>
      </w:tcPr>
    </w:tblStylePr>
    <w:tblStylePr w:type="lastRow">
      <w:rPr>
        <w:rFonts w:ascii="Arial" w:hAnsi="Arial"/>
        <w:b/>
        <w:color w:val="3E70A3" w:themeColor="accent1" w:themeTint="80" w:themeShade="95"/>
        <w:sz w:val="22"/>
      </w:rPr>
      <w:tcPr>
        <w:shd w:val="clear" w:color="FFFFFF" w:themeFill="light1" w:themeColor="light1"/>
        <w:tcBorders>
          <w:left w:val="none"/>
          <w:top w:val="single" w:color="000000" w:sz="4" w:space="0" w:themeColor="accent1" w:themeTint="80"/>
          <w:right w:val="none"/>
          <w:bottom w:val="none"/>
        </w:tcBorders>
      </w:tcPr>
    </w:tblStylePr>
  </w:style>
  <w:style w:type="table" w:styleId="97">
    <w:name w:val="Grid Table 7 Colorful - Accent 2"/>
    <w:basedOn w:val="807"/>
    <w:uiPriority w:val="99"/>
    <w:pPr>
      <w:spacing w:lineRule="auto" w:line="240" w:after="0"/>
    </w:pPr>
    <w:tblPr>
      <w:tblStyleRowBandSize w:val="1"/>
      <w:tblStyleColBandSize w:val="1"/>
      <w:tblInd w:w="0" w:type="dxa"/>
      <w:tblBorders>
        <w:right w:val="single" w:color="000000" w:sz="4" w:space="0" w:themeColor="accent2" w:themeTint="97"/>
        <w:bottom w:val="single" w:color="000000" w:sz="4" w:space="0" w:themeColor="accent2" w:themeTint="97"/>
        <w:insideV w:val="single" w:color="000000" w:sz="4" w:space="0" w:themeColor="accent2" w:themeTint="97"/>
        <w:insideH w:val="single" w:color="000000" w:sz="4" w:space="0" w:themeColor="accent2" w:themeTint="97"/>
      </w:tblBorders>
    </w:tblPr>
    <w:tblStylePr w:type="band1Horz">
      <w:rPr>
        <w:rFonts w:ascii="Arial" w:hAnsi="Arial"/>
        <w:color w:val="9C3A37" w:themeColor="accent2" w:themeTint="97" w:themeShade="95"/>
        <w:sz w:val="22"/>
      </w:rPr>
      <w:tcPr>
        <w:shd w:val="clear" w:color="FFFFFF" w:themeFill="accent2" w:themeFillTint="32" w:themeColor="accent2" w:themeTint="32"/>
      </w:tcPr>
    </w:tblStylePr>
    <w:tblStylePr w:type="band1Vert">
      <w:tcPr>
        <w:shd w:val="clear" w:color="FFFFFF" w:themeFill="accent2" w:themeFillTint="32" w:themeColor="accent2" w:theme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b/>
        <w:color w:val="9C3A37" w:themeColor="accent2" w:themeTint="97" w:themeShade="95"/>
        <w:sz w:val="22"/>
      </w:rPr>
      <w:tcPr>
        <w:shd w:val="clear" w:color="FFFFFF" w:themeFill="light1" w:themeColor="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b/>
        <w:color w:val="9C3A37" w:themeColor="accent2" w:themeTint="97" w:themeShade="95"/>
        <w:sz w:val="22"/>
      </w:rPr>
      <w:tcPr>
        <w:shd w:val="clear" w:color="FFFFFF" w:themeFill="light1" w:themeColor="light1"/>
        <w:tcBorders>
          <w:left w:val="none"/>
          <w:top w:val="single" w:color="000000" w:sz="4" w:space="0" w:themeColor="accent2" w:themeTint="97"/>
          <w:right w:val="none"/>
          <w:bottom w:val="none"/>
        </w:tcBorders>
      </w:tcPr>
    </w:tblStylePr>
  </w:style>
  <w:style w:type="table" w:styleId="98">
    <w:name w:val="Grid Table 7 Colorful - Accent 3"/>
    <w:basedOn w:val="807"/>
    <w:uiPriority w:val="99"/>
    <w:pPr>
      <w:spacing w:lineRule="auto" w:line="240" w:after="0"/>
    </w:pPr>
    <w:tblPr>
      <w:tblStyleRowBandSize w:val="1"/>
      <w:tblStyleColBandSize w:val="1"/>
      <w:tblInd w:w="0" w:type="dxa"/>
      <w:tblBorders>
        <w:right w:val="single" w:color="000000" w:sz="4" w:space="0" w:themeColor="accent3" w:themeTint="FE"/>
        <w:bottom w:val="single" w:color="000000" w:sz="4" w:space="0" w:themeColor="accent3" w:themeTint="FE"/>
        <w:insideV w:val="single" w:color="000000" w:sz="4" w:space="0" w:themeColor="accent3" w:themeTint="FE"/>
        <w:insideH w:val="single" w:color="000000" w:sz="4" w:space="0" w:themeColor="accent3" w:themeTint="FE"/>
      </w:tblBorders>
    </w:tblPr>
    <w:tblStylePr w:type="band1Horz">
      <w:rPr>
        <w:rFonts w:ascii="Arial" w:hAnsi="Arial"/>
        <w:color w:val="5C702F" w:themeColor="accent3" w:themeTint="FE" w:themeShade="95"/>
        <w:sz w:val="22"/>
      </w:rPr>
      <w:tcPr>
        <w:shd w:val="clear" w:color="FFFFFF" w:themeFill="accent3" w:themeFillTint="34" w:themeColor="accent3" w:themeTint="34"/>
      </w:tcPr>
    </w:tblStylePr>
    <w:tblStylePr w:type="band1Vert">
      <w:tcPr>
        <w:shd w:val="clear" w:color="FFFFFF" w:themeFill="accent3" w:themeFillTint="34" w:themeColor="accent3" w:theme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left w:val="none"/>
          <w:top w:val="none"/>
          <w:right w:val="single" w:color="000000" w:sz="4" w:space="0" w:themeColor="accent3" w:themeTint="FE"/>
          <w:bottom w:val="none"/>
        </w:tcBorders>
      </w:tcPr>
    </w:tblStylePr>
    <w:tblStylePr w:type="firstRow">
      <w:rPr>
        <w:rFonts w:ascii="Arial" w:hAnsi="Arial"/>
        <w:b/>
        <w:color w:val="5C702F" w:themeColor="accent3" w:themeTint="FE" w:themeShade="95"/>
        <w:sz w:val="22"/>
      </w:rPr>
      <w:tcPr>
        <w:shd w:val="clear" w:color="FFFFFF" w:themeFill="light1" w:themeColor="light1"/>
        <w:tcBorders>
          <w:left w:val="none"/>
          <w:top w:val="none"/>
          <w:right w:val="none"/>
          <w:bottom w:val="single" w:color="000000" w:sz="4" w:space="0" w:themeColor="accent3" w:themeTint="FE"/>
        </w:tcBorders>
      </w:tcPr>
    </w:tblStylePr>
    <w:tblStylePr w:type="lastCol">
      <w:rPr>
        <w:rFonts w:ascii="Arial" w:hAnsi="Arial"/>
        <w:i/>
        <w:color w:val="5C702F" w:themeColor="accent3" w:themeTint="FE" w:themeShade="95"/>
        <w:sz w:val="22"/>
      </w:rPr>
      <w:tcPr>
        <w:shd w:color="FFFFFF"/>
        <w:tcBorders>
          <w:left w:val="single" w:color="000000" w:sz="4" w:space="0" w:themeColor="accent3" w:themeTint="FE"/>
          <w:top w:val="none"/>
          <w:right w:val="none"/>
          <w:bottom w:val="none"/>
        </w:tcBorders>
      </w:tcPr>
    </w:tblStylePr>
    <w:tblStylePr w:type="lastRow">
      <w:rPr>
        <w:rFonts w:ascii="Arial" w:hAnsi="Arial"/>
        <w:b/>
        <w:color w:val="5C702F" w:themeColor="accent3" w:themeTint="FE" w:themeShade="95"/>
        <w:sz w:val="22"/>
      </w:rPr>
      <w:tcPr>
        <w:shd w:val="clear" w:color="FFFFFF" w:themeFill="light1" w:themeColor="light1"/>
        <w:tcBorders>
          <w:left w:val="none"/>
          <w:top w:val="single" w:color="000000" w:sz="4" w:space="0" w:themeColor="accent3" w:themeTint="FE"/>
          <w:right w:val="none"/>
          <w:bottom w:val="none"/>
        </w:tcBorders>
      </w:tcPr>
    </w:tblStylePr>
  </w:style>
  <w:style w:type="table" w:styleId="99">
    <w:name w:val="Grid Table 7 Colorful - Accent 4"/>
    <w:basedOn w:val="807"/>
    <w:uiPriority w:val="99"/>
    <w:pPr>
      <w:spacing w:lineRule="auto" w:line="240" w:after="0"/>
    </w:pPr>
    <w:tblPr>
      <w:tblStyleRowBandSize w:val="1"/>
      <w:tblStyleColBandSize w:val="1"/>
      <w:tblInd w:w="0" w:type="dxa"/>
      <w:tblBorders>
        <w:right w:val="single" w:color="000000" w:sz="4" w:space="0" w:themeColor="accent4" w:themeTint="9A"/>
        <w:bottom w:val="single" w:color="000000" w:sz="4" w:space="0" w:themeColor="accent4" w:themeTint="9A"/>
        <w:insideV w:val="single" w:color="000000" w:sz="4" w:space="0" w:themeColor="accent4" w:themeTint="9A"/>
        <w:insideH w:val="single" w:color="000000" w:sz="4" w:space="0" w:themeColor="accent4" w:themeTint="9A"/>
      </w:tblBorders>
    </w:tblPr>
    <w:tblStylePr w:type="band1Horz">
      <w:rPr>
        <w:rFonts w:ascii="Arial" w:hAnsi="Arial"/>
        <w:color w:val="664F82" w:themeColor="accent4" w:themeTint="9A" w:themeShade="95"/>
        <w:sz w:val="22"/>
      </w:rPr>
      <w:tcPr>
        <w:shd w:val="clear" w:color="FFFFFF" w:themeFill="accent4" w:themeFillTint="34" w:themeColor="accent4" w:themeTint="34"/>
      </w:tcPr>
    </w:tblStylePr>
    <w:tblStylePr w:type="band1Vert">
      <w:tcPr>
        <w:shd w:val="clear" w:color="FFFFFF" w:themeFill="accent4" w:themeFillTint="34" w:themeColor="accent4" w:theme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b/>
        <w:color w:val="664F82" w:themeColor="accent4" w:themeTint="9A" w:themeShade="95"/>
        <w:sz w:val="22"/>
      </w:rPr>
      <w:tcPr>
        <w:shd w:val="clear" w:color="FFFFFF" w:themeFill="light1" w:themeColor="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b/>
        <w:color w:val="664F82" w:themeColor="accent4" w:themeTint="9A" w:themeShade="95"/>
        <w:sz w:val="22"/>
      </w:rPr>
      <w:tcPr>
        <w:shd w:val="clear" w:color="FFFFFF" w:themeFill="light1" w:themeColor="light1"/>
        <w:tcBorders>
          <w:left w:val="none"/>
          <w:top w:val="single" w:color="000000" w:sz="4" w:space="0" w:themeColor="accent4" w:themeTint="9A"/>
          <w:right w:val="none"/>
          <w:bottom w:val="none"/>
        </w:tcBorders>
      </w:tcPr>
    </w:tblStylePr>
  </w:style>
  <w:style w:type="table" w:styleId="100">
    <w:name w:val="Grid Table 7 Colorful - Accent 5"/>
    <w:basedOn w:val="807"/>
    <w:uiPriority w:val="99"/>
    <w:pPr>
      <w:spacing w:lineRule="auto" w:line="240" w:after="0"/>
    </w:pPr>
    <w:tblPr>
      <w:tblStyleRowBandSize w:val="1"/>
      <w:tblStyleColBandSize w:val="1"/>
      <w:tblInd w:w="0" w:type="dxa"/>
      <w:tblBorders>
        <w:right w:val="single" w:color="000000" w:sz="4" w:space="0" w:themeColor="accent5" w:themeTint="90"/>
        <w:bottom w:val="single" w:color="000000" w:sz="4" w:space="0" w:themeColor="accent5" w:themeTint="90"/>
        <w:insideV w:val="single" w:color="000000" w:sz="4" w:space="0" w:themeColor="accent5" w:themeTint="90"/>
        <w:insideH w:val="single" w:color="000000" w:sz="4" w:space="0" w:themeColor="accent5" w:themeTint="90"/>
      </w:tblBorders>
    </w:tblPr>
    <w:tblStylePr w:type="band1Horz">
      <w:rPr>
        <w:rFonts w:ascii="Arial" w:hAnsi="Arial"/>
        <w:color w:val="266777" w:themeColor="accent5" w:themeShade="95"/>
        <w:sz w:val="22"/>
      </w:rPr>
      <w:tcPr>
        <w:shd w:val="clear" w:color="FFFFFF" w:themeFill="accent5" w:themeFillTint="34" w:themeColor="accent5" w:themeTint="34"/>
      </w:tcPr>
    </w:tblStylePr>
    <w:tblStylePr w:type="band1Vert">
      <w:tcPr>
        <w:shd w:val="clear" w:color="FFFFFF" w:themeFill="accent5" w:themeFillTint="34" w:themeColor="accent5" w:theme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left w:val="none"/>
          <w:top w:val="none"/>
          <w:right w:val="single" w:color="000000" w:sz="4" w:space="0" w:themeColor="accent5" w:themeTint="90"/>
          <w:bottom w:val="none"/>
        </w:tcBorders>
      </w:tcPr>
    </w:tblStylePr>
    <w:tblStylePr w:type="firstRow">
      <w:rPr>
        <w:rFonts w:ascii="Arial" w:hAnsi="Arial"/>
        <w:b/>
        <w:color w:val="266777" w:themeColor="accent5" w:themeShade="95"/>
        <w:sz w:val="22"/>
      </w:rPr>
      <w:tcPr>
        <w:shd w:val="clear" w:color="FFFFFF" w:themeFill="light1" w:themeColor="light1"/>
        <w:tcBorders>
          <w:left w:val="none"/>
          <w:top w:val="none"/>
          <w:right w:val="none"/>
          <w:bottom w:val="single" w:color="000000" w:sz="4" w:space="0" w:themeColor="accent5" w:themeTint="90"/>
        </w:tcBorders>
      </w:tcPr>
    </w:tblStylePr>
    <w:tblStylePr w:type="lastCol">
      <w:rPr>
        <w:rFonts w:ascii="Arial" w:hAnsi="Arial"/>
        <w:i/>
        <w:color w:val="266777" w:themeColor="accent5" w:themeShade="95"/>
        <w:sz w:val="22"/>
      </w:rPr>
      <w:tcPr>
        <w:shd w:color="FFFFFF"/>
        <w:tcBorders>
          <w:left w:val="single" w:color="000000" w:sz="4" w:space="0" w:themeColor="accent5" w:themeTint="90"/>
          <w:top w:val="none"/>
          <w:right w:val="none"/>
          <w:bottom w:val="none"/>
        </w:tcBorders>
      </w:tcPr>
    </w:tblStylePr>
    <w:tblStylePr w:type="lastRow">
      <w:rPr>
        <w:rFonts w:ascii="Arial" w:hAnsi="Arial"/>
        <w:b/>
        <w:color w:val="266777" w:themeColor="accent5" w:themeShade="95"/>
        <w:sz w:val="22"/>
      </w:rPr>
      <w:tcPr>
        <w:shd w:val="clear" w:color="FFFFFF" w:themeFill="light1" w:themeColor="light1"/>
        <w:tcBorders>
          <w:left w:val="none"/>
          <w:top w:val="single" w:color="000000" w:sz="4" w:space="0" w:themeColor="accent5" w:themeTint="90"/>
          <w:right w:val="none"/>
          <w:bottom w:val="none"/>
        </w:tcBorders>
      </w:tcPr>
    </w:tblStylePr>
  </w:style>
  <w:style w:type="table" w:styleId="101">
    <w:name w:val="Grid Table 7 Colorful - Accent 6"/>
    <w:basedOn w:val="807"/>
    <w:uiPriority w:val="99"/>
    <w:pPr>
      <w:spacing w:lineRule="auto" w:line="240" w:after="0"/>
    </w:pPr>
    <w:tblPr>
      <w:tblStyleRowBandSize w:val="1"/>
      <w:tblStyleColBandSize w:val="1"/>
      <w:tblInd w:w="0" w:type="dxa"/>
      <w:tblBorders>
        <w:right w:val="single" w:color="000000" w:sz="4" w:space="0" w:themeColor="accent6" w:themeTint="90"/>
        <w:bottom w:val="single" w:color="000000" w:sz="4" w:space="0" w:themeColor="accent6" w:themeTint="90"/>
        <w:insideV w:val="single" w:color="000000" w:sz="4" w:space="0" w:themeColor="accent6" w:themeTint="90"/>
        <w:insideH w:val="single" w:color="000000" w:sz="4" w:space="0" w:themeColor="accent6" w:themeTint="90"/>
      </w:tblBorders>
    </w:tblPr>
    <w:tblStylePr w:type="band1Horz">
      <w:rPr>
        <w:rFonts w:ascii="Arial" w:hAnsi="Arial"/>
        <w:color w:val="B05307" w:themeColor="accent6" w:themeShade="95"/>
        <w:sz w:val="22"/>
      </w:rPr>
      <w:tcPr>
        <w:shd w:val="clear" w:color="FFFFFF" w:themeFill="accent6" w:themeFillTint="34" w:themeColor="accent6" w:themeTint="34"/>
      </w:tcPr>
    </w:tblStylePr>
    <w:tblStylePr w:type="band1Vert">
      <w:tcPr>
        <w:shd w:val="clear" w:color="FFFFFF" w:themeFill="accent6" w:themeFillTint="34" w:themeColor="accent6" w:theme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left w:val="none"/>
          <w:top w:val="none"/>
          <w:right w:val="single" w:color="000000" w:sz="4" w:space="0" w:themeColor="accent6" w:themeTint="90"/>
          <w:bottom w:val="none"/>
        </w:tcBorders>
      </w:tcPr>
    </w:tblStylePr>
    <w:tblStylePr w:type="firstRow">
      <w:rPr>
        <w:rFonts w:ascii="Arial" w:hAnsi="Arial"/>
        <w:b/>
        <w:color w:val="B05307" w:themeColor="accent6" w:themeShade="95"/>
        <w:sz w:val="22"/>
      </w:rPr>
      <w:tcPr>
        <w:shd w:val="clear" w:color="FFFFFF" w:themeFill="light1" w:themeColor="light1"/>
        <w:tcBorders>
          <w:left w:val="none"/>
          <w:top w:val="none"/>
          <w:right w:val="none"/>
          <w:bottom w:val="single" w:color="000000" w:sz="4" w:space="0" w:themeColor="accent6" w:themeTint="90"/>
        </w:tcBorders>
      </w:tcPr>
    </w:tblStylePr>
    <w:tblStylePr w:type="lastCol">
      <w:rPr>
        <w:rFonts w:ascii="Arial" w:hAnsi="Arial"/>
        <w:i/>
        <w:color w:val="B05307" w:themeColor="accent6" w:themeShade="95"/>
        <w:sz w:val="22"/>
      </w:rPr>
      <w:tcPr>
        <w:shd w:color="FFFFFF"/>
        <w:tcBorders>
          <w:left w:val="single" w:color="000000" w:sz="4" w:space="0" w:themeColor="accent6" w:themeTint="90"/>
          <w:top w:val="none"/>
          <w:right w:val="none"/>
          <w:bottom w:val="none"/>
        </w:tcBorders>
      </w:tcPr>
    </w:tblStylePr>
    <w:tblStylePr w:type="lastRow">
      <w:rPr>
        <w:rFonts w:ascii="Arial" w:hAnsi="Arial"/>
        <w:b/>
        <w:color w:val="B05307" w:themeColor="accent6" w:themeShade="95"/>
        <w:sz w:val="22"/>
      </w:rPr>
      <w:tcPr>
        <w:shd w:val="clear" w:color="FFFFFF" w:themeFill="light1" w:themeColor="light1"/>
        <w:tcBorders>
          <w:left w:val="none"/>
          <w:top w:val="single" w:color="000000" w:sz="4" w:space="0" w:themeColor="accent6" w:themeTint="90"/>
          <w:right w:val="none"/>
          <w:bottom w:val="none"/>
        </w:tcBorders>
      </w:tcPr>
    </w:tblStylePr>
  </w:style>
  <w:style w:type="table" w:styleId="102">
    <w:name w:val="List Table 1 Light"/>
    <w:basedOn w:val="807"/>
    <w:uiPriority w:val="99"/>
    <w:pPr>
      <w:spacing w:lineRule="auto" w:line="240" w:after="0"/>
    </w:pPr>
    <w:tblPr>
      <w:tblStyleRowBandSize w:val="1"/>
      <w:tblStyleColBandSize w:val="1"/>
      <w:tblInd w:w="0" w:type="dxa"/>
    </w:tblPr>
    <w:tblStylePr w:type="band1Horz">
      <w:tcPr>
        <w:shd w:val="clear" w:color="FFFFFF" w:themeFill="text1" w:themeFillTint="40" w:themeColor="text1" w:themeTint="40"/>
      </w:tcPr>
    </w:tblStylePr>
    <w:tblStylePr w:type="band1Vert">
      <w:tcPr>
        <w:shd w:val="clear" w:color="FFFFFF" w:themeFill="text1" w:themeFillTint="40" w:themeColor="tex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text1"/>
        </w:tcBorders>
      </w:tcPr>
    </w:tblStylePr>
    <w:tblStylePr w:type="lastCol">
      <w:rPr>
        <w:b/>
        <w:color w:val="404040"/>
      </w:rPr>
    </w:tblStylePr>
    <w:tblStylePr w:type="lastRow">
      <w:rPr>
        <w:b/>
        <w:color w:val="404040"/>
      </w:rPr>
      <w:tcPr>
        <w:tcBorders>
          <w:left w:val="none" w:color="000000" w:sz="4" w:space="0"/>
          <w:top w:val="single" w:color="000000" w:sz="4" w:space="0" w:themeColor="text1"/>
          <w:right w:val="none" w:color="000000" w:sz="4" w:space="0"/>
          <w:bottom w:val="none" w:color="000000" w:sz="4" w:space="0"/>
        </w:tcBorders>
      </w:tcPr>
    </w:tblStylePr>
  </w:style>
  <w:style w:type="table" w:styleId="103">
    <w:name w:val="List Table 1 Light - Accent 1"/>
    <w:basedOn w:val="807"/>
    <w:uiPriority w:val="99"/>
    <w:pPr>
      <w:spacing w:lineRule="auto" w:line="240" w:after="0"/>
    </w:pPr>
    <w:tblPr>
      <w:tblStyleRowBandSize w:val="1"/>
      <w:tblStyleColBandSize w:val="1"/>
      <w:tblInd w:w="0" w:type="dxa"/>
    </w:tblPr>
    <w:tblStylePr w:type="band1Horz">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1"/>
        </w:tcBorders>
      </w:tcPr>
    </w:tblStylePr>
    <w:tblStylePr w:type="lastCol">
      <w:rPr>
        <w:b/>
        <w:color w:val="404040"/>
      </w:rPr>
    </w:tblStylePr>
    <w:tblStylePr w:type="lastRow">
      <w:rPr>
        <w:b/>
        <w:color w:val="404040"/>
      </w:rPr>
      <w:tcPr>
        <w:tcBorders>
          <w:left w:val="none" w:color="000000" w:sz="4" w:space="0"/>
          <w:top w:val="single" w:color="000000" w:sz="4" w:space="0" w:themeColor="accent1"/>
          <w:right w:val="none" w:color="000000" w:sz="4" w:space="0"/>
          <w:bottom w:val="none" w:color="000000" w:sz="4" w:space="0"/>
        </w:tcBorders>
      </w:tcPr>
    </w:tblStylePr>
  </w:style>
  <w:style w:type="table" w:styleId="104">
    <w:name w:val="List Table 1 Light - Accent 2"/>
    <w:basedOn w:val="807"/>
    <w:uiPriority w:val="99"/>
    <w:pPr>
      <w:spacing w:lineRule="auto" w:line="240" w:after="0"/>
    </w:pPr>
    <w:tblPr>
      <w:tblStyleRowBandSize w:val="1"/>
      <w:tblStyleColBandSize w:val="1"/>
      <w:tblInd w:w="0" w:type="dxa"/>
    </w:tblPr>
    <w:tblStylePr w:type="band1Horz">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2"/>
        </w:tcBorders>
      </w:tcPr>
    </w:tblStylePr>
    <w:tblStylePr w:type="lastCol">
      <w:rPr>
        <w:b/>
        <w:color w:val="404040"/>
      </w:rPr>
    </w:tblStylePr>
    <w:tblStylePr w:type="lastRow">
      <w:rPr>
        <w:b/>
        <w:color w:val="404040"/>
      </w:rPr>
      <w:tcPr>
        <w:tcBorders>
          <w:left w:val="none" w:color="000000" w:sz="4" w:space="0"/>
          <w:top w:val="single" w:color="000000" w:sz="4" w:space="0" w:themeColor="accent2"/>
          <w:right w:val="none" w:color="000000" w:sz="4" w:space="0"/>
          <w:bottom w:val="none" w:color="000000" w:sz="4" w:space="0"/>
        </w:tcBorders>
      </w:tcPr>
    </w:tblStylePr>
  </w:style>
  <w:style w:type="table" w:styleId="105">
    <w:name w:val="List Table 1 Light - Accent 3"/>
    <w:basedOn w:val="807"/>
    <w:uiPriority w:val="99"/>
    <w:pPr>
      <w:spacing w:lineRule="auto" w:line="240" w:after="0"/>
    </w:pPr>
    <w:tblPr>
      <w:tblStyleRowBandSize w:val="1"/>
      <w:tblStyleColBandSize w:val="1"/>
      <w:tblInd w:w="0" w:type="dxa"/>
    </w:tblPr>
    <w:tblStylePr w:type="band1Horz">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3"/>
        </w:tcBorders>
      </w:tcPr>
    </w:tblStylePr>
    <w:tblStylePr w:type="lastCol">
      <w:rPr>
        <w:b/>
        <w:color w:val="404040"/>
      </w:rPr>
    </w:tblStylePr>
    <w:tblStylePr w:type="lastRow">
      <w:rPr>
        <w:b/>
        <w:color w:val="404040"/>
      </w:rPr>
      <w:tcPr>
        <w:tcBorders>
          <w:left w:val="none" w:color="000000" w:sz="4" w:space="0"/>
          <w:top w:val="single" w:color="000000" w:sz="4" w:space="0" w:themeColor="accent3"/>
          <w:right w:val="none" w:color="000000" w:sz="4" w:space="0"/>
          <w:bottom w:val="none" w:color="000000" w:sz="4" w:space="0"/>
        </w:tcBorders>
      </w:tcPr>
    </w:tblStylePr>
  </w:style>
  <w:style w:type="table" w:styleId="106">
    <w:name w:val="List Table 1 Light - Accent 4"/>
    <w:basedOn w:val="807"/>
    <w:uiPriority w:val="99"/>
    <w:pPr>
      <w:spacing w:lineRule="auto" w:line="240" w:after="0"/>
    </w:pPr>
    <w:tblPr>
      <w:tblStyleRowBandSize w:val="1"/>
      <w:tblStyleColBandSize w:val="1"/>
      <w:tblInd w:w="0" w:type="dxa"/>
    </w:tblPr>
    <w:tblStylePr w:type="band1Horz">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4"/>
        </w:tcBorders>
      </w:tcPr>
    </w:tblStylePr>
    <w:tblStylePr w:type="lastCol">
      <w:rPr>
        <w:b/>
        <w:color w:val="404040"/>
      </w:rPr>
    </w:tblStylePr>
    <w:tblStylePr w:type="lastRow">
      <w:rPr>
        <w:b/>
        <w:color w:val="404040"/>
      </w:rPr>
      <w:tcPr>
        <w:tcBorders>
          <w:left w:val="none" w:color="000000" w:sz="4" w:space="0"/>
          <w:top w:val="single" w:color="000000" w:sz="4" w:space="0" w:themeColor="accent4"/>
          <w:right w:val="none" w:color="000000" w:sz="4" w:space="0"/>
          <w:bottom w:val="none" w:color="000000" w:sz="4" w:space="0"/>
        </w:tcBorders>
      </w:tcPr>
    </w:tblStylePr>
  </w:style>
  <w:style w:type="table" w:styleId="107">
    <w:name w:val="List Table 1 Light - Accent 5"/>
    <w:basedOn w:val="807"/>
    <w:uiPriority w:val="99"/>
    <w:pPr>
      <w:spacing w:lineRule="auto" w:line="240" w:after="0"/>
    </w:pPr>
    <w:tblPr>
      <w:tblStyleRowBandSize w:val="1"/>
      <w:tblStyleColBandSize w:val="1"/>
      <w:tblInd w:w="0" w:type="dxa"/>
    </w:tblPr>
    <w:tblStylePr w:type="band1Horz">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5"/>
        </w:tcBorders>
      </w:tcPr>
    </w:tblStylePr>
    <w:tblStylePr w:type="lastCol">
      <w:rPr>
        <w:b/>
        <w:color w:val="404040"/>
      </w:rPr>
    </w:tblStylePr>
    <w:tblStylePr w:type="lastRow">
      <w:rPr>
        <w:b/>
        <w:color w:val="404040"/>
      </w:rPr>
      <w:tcPr>
        <w:tcBorders>
          <w:left w:val="none" w:color="000000" w:sz="4" w:space="0"/>
          <w:top w:val="single" w:color="000000" w:sz="4" w:space="0" w:themeColor="accent5"/>
          <w:right w:val="none" w:color="000000" w:sz="4" w:space="0"/>
          <w:bottom w:val="none" w:color="000000" w:sz="4" w:space="0"/>
        </w:tcBorders>
      </w:tcPr>
    </w:tblStylePr>
  </w:style>
  <w:style w:type="table" w:styleId="108">
    <w:name w:val="List Table 1 Light - Accent 6"/>
    <w:basedOn w:val="807"/>
    <w:uiPriority w:val="99"/>
    <w:pPr>
      <w:spacing w:lineRule="auto" w:line="240" w:after="0"/>
    </w:pPr>
    <w:tblPr>
      <w:tblStyleRowBandSize w:val="1"/>
      <w:tblStyleColBandSize w:val="1"/>
      <w:tblInd w:w="0" w:type="dxa"/>
    </w:tblPr>
    <w:tblStylePr w:type="band1Horz">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firstCol">
      <w:rPr>
        <w:b/>
        <w:color w:val="404040"/>
      </w:rPr>
    </w:tblStylePr>
    <w:tblStylePr w:type="firstRow">
      <w:rPr>
        <w:b/>
        <w:color w:val="404040"/>
      </w:rPr>
      <w:tcPr>
        <w:tcBorders>
          <w:left w:val="none" w:color="000000" w:sz="4" w:space="0"/>
          <w:top w:val="none" w:color="000000" w:sz="4" w:space="0"/>
          <w:right w:val="none" w:color="000000" w:sz="4" w:space="0"/>
          <w:bottom w:val="single" w:color="000000" w:sz="4" w:space="0" w:themeColor="accent6"/>
        </w:tcBorders>
      </w:tcPr>
    </w:tblStylePr>
    <w:tblStylePr w:type="lastCol">
      <w:rPr>
        <w:b/>
        <w:color w:val="404040"/>
      </w:rPr>
    </w:tblStylePr>
    <w:tblStylePr w:type="lastRow">
      <w:rPr>
        <w:b/>
        <w:color w:val="404040"/>
      </w:rPr>
      <w:tcPr>
        <w:tcBorders>
          <w:left w:val="none" w:color="000000" w:sz="4" w:space="0"/>
          <w:top w:val="single" w:color="000000" w:sz="4" w:space="0" w:themeColor="accent6"/>
          <w:right w:val="none" w:color="000000" w:sz="4" w:space="0"/>
          <w:bottom w:val="none" w:color="000000" w:sz="4" w:space="0"/>
        </w:tcBorders>
      </w:tcPr>
    </w:tblStylePr>
  </w:style>
  <w:style w:type="table" w:styleId="109">
    <w:name w:val="List Table 2"/>
    <w:basedOn w:val="807"/>
    <w:uiPriority w:val="99"/>
    <w:pPr>
      <w:spacing w:lineRule="auto" w:line="240" w:after="0"/>
    </w:pPr>
    <w:tblPr>
      <w:tblStyleRowBandSize w:val="1"/>
      <w:tblStyleColBandSize w:val="1"/>
      <w:tblInd w:w="0" w:type="dxa"/>
      <w:tblBorders>
        <w:top w:val="single" w:color="000000" w:sz="4" w:space="0" w:themeColor="text1" w:themeTint="90"/>
        <w:bottom w:val="single" w:color="000000" w:sz="4" w:space="0" w:themeColor="text1" w:themeTint="90"/>
        <w:insideH w:val="single" w:color="000000" w:sz="4" w:space="0" w:themeColor="text1" w:themeTint="90"/>
      </w:tblBorders>
    </w:tblPr>
    <w:tblStylePr w:type="band1Horz">
      <w:rPr>
        <w:rFonts w:ascii="Arial" w:hAnsi="Arial"/>
        <w:color w:val="404040"/>
        <w:sz w:val="22"/>
      </w:rPr>
      <w:tcPr>
        <w:shd w:val="clear" w:color="FFFFFF" w:themeFill="text1" w:themeFillTint="40" w:themeColor="text1" w:themeTint="40"/>
      </w:tcPr>
    </w:tblStylePr>
    <w:tblStylePr w:type="band1Vert">
      <w:rPr>
        <w:rFonts w:ascii="Arial" w:hAnsi="Arial"/>
        <w:color w:val="404040"/>
        <w:sz w:val="22"/>
      </w:rPr>
      <w:tcPr>
        <w:shd w:val="clear" w:color="FFFFFF" w:themeFill="text1" w:themeFillTint="40" w:themeColor="tex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text1" w:themeTint="90"/>
          <w:right w:val="none" w:color="000000" w:sz="4" w:space="0"/>
          <w:bottom w:val="single" w:color="000000" w:sz="4" w:space="0" w:themeColor="text1" w:themeTint="90"/>
        </w:tcBorders>
      </w:tcPr>
    </w:tblStylePr>
  </w:style>
  <w:style w:type="table" w:styleId="110">
    <w:name w:val="List Table 2 - Accent 1"/>
    <w:basedOn w:val="807"/>
    <w:uiPriority w:val="99"/>
    <w:pPr>
      <w:spacing w:lineRule="auto" w:line="240" w:after="0"/>
    </w:pPr>
    <w:tblPr>
      <w:tblStyleRowBandSize w:val="1"/>
      <w:tblStyleColBandSize w:val="1"/>
      <w:tblInd w:w="0" w:type="dxa"/>
      <w:tblBorders>
        <w:top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40" w:themeColor="accent1" w:themeTint="40"/>
      </w:tcPr>
    </w:tblStylePr>
    <w:tblStylePr w:type="band1Vert">
      <w:rPr>
        <w:rFonts w:ascii="Arial" w:hAnsi="Arial"/>
        <w:color w:val="404040"/>
        <w:sz w:val="22"/>
      </w:rPr>
      <w:tcPr>
        <w:shd w:val="clear" w:color="FFFFFF" w:themeFill="accent1" w:themeFillTint="40" w:themeColor="accent1"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1" w:themeTint="90"/>
          <w:right w:val="none" w:color="000000" w:sz="4" w:space="0"/>
          <w:bottom w:val="single" w:color="000000" w:sz="4" w:space="0" w:themeColor="accent1" w:themeTint="90"/>
        </w:tcBorders>
      </w:tcPr>
    </w:tblStylePr>
  </w:style>
  <w:style w:type="table" w:styleId="111">
    <w:name w:val="List Table 2 - Accent 2"/>
    <w:basedOn w:val="807"/>
    <w:uiPriority w:val="99"/>
    <w:pPr>
      <w:spacing w:lineRule="auto" w:line="240" w:after="0"/>
    </w:pPr>
    <w:tblPr>
      <w:tblStyleRowBandSize w:val="1"/>
      <w:tblStyleColBandSize w:val="1"/>
      <w:tblInd w:w="0" w:type="dxa"/>
      <w:tblBorders>
        <w:top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40" w:themeColor="accent2" w:themeTint="40"/>
      </w:tcPr>
    </w:tblStylePr>
    <w:tblStylePr w:type="band1Vert">
      <w:rPr>
        <w:rFonts w:ascii="Arial" w:hAnsi="Arial"/>
        <w:color w:val="404040"/>
        <w:sz w:val="22"/>
      </w:rPr>
      <w:tcPr>
        <w:shd w:val="clear" w:color="FFFFFF" w:themeFill="accent2" w:themeFillTint="40" w:themeColor="accent2"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2" w:themeTint="90"/>
          <w:right w:val="none" w:color="000000" w:sz="4" w:space="0"/>
          <w:bottom w:val="single" w:color="000000" w:sz="4" w:space="0" w:themeColor="accent2" w:themeTint="90"/>
        </w:tcBorders>
      </w:tcPr>
    </w:tblStylePr>
  </w:style>
  <w:style w:type="table" w:styleId="112">
    <w:name w:val="List Table 2 - Accent 3"/>
    <w:basedOn w:val="807"/>
    <w:uiPriority w:val="99"/>
    <w:pPr>
      <w:spacing w:lineRule="auto" w:line="240" w:after="0"/>
    </w:pPr>
    <w:tblPr>
      <w:tblStyleRowBandSize w:val="1"/>
      <w:tblStyleColBandSize w:val="1"/>
      <w:tblInd w:w="0" w:type="dxa"/>
      <w:tblBorders>
        <w:top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40" w:themeColor="accent3" w:themeTint="40"/>
      </w:tcPr>
    </w:tblStylePr>
    <w:tblStylePr w:type="band1Vert">
      <w:rPr>
        <w:rFonts w:ascii="Arial" w:hAnsi="Arial"/>
        <w:color w:val="404040"/>
        <w:sz w:val="22"/>
      </w:rPr>
      <w:tcPr>
        <w:shd w:val="clear" w:color="FFFFFF" w:themeFill="accent3" w:themeFillTint="40" w:themeColor="accent3"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3" w:themeTint="90"/>
          <w:right w:val="none" w:color="000000" w:sz="4" w:space="0"/>
          <w:bottom w:val="single" w:color="000000" w:sz="4" w:space="0" w:themeColor="accent3" w:themeTint="90"/>
        </w:tcBorders>
      </w:tcPr>
    </w:tblStylePr>
  </w:style>
  <w:style w:type="table" w:styleId="113">
    <w:name w:val="List Table 2 - Accent 4"/>
    <w:basedOn w:val="807"/>
    <w:uiPriority w:val="99"/>
    <w:pPr>
      <w:spacing w:lineRule="auto" w:line="240" w:after="0"/>
    </w:pPr>
    <w:tblPr>
      <w:tblStyleRowBandSize w:val="1"/>
      <w:tblStyleColBandSize w:val="1"/>
      <w:tblInd w:w="0" w:type="dxa"/>
      <w:tblBorders>
        <w:top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40" w:themeColor="accent4" w:themeTint="40"/>
      </w:tcPr>
    </w:tblStylePr>
    <w:tblStylePr w:type="band1Vert">
      <w:rPr>
        <w:rFonts w:ascii="Arial" w:hAnsi="Arial"/>
        <w:color w:val="404040"/>
        <w:sz w:val="22"/>
      </w:rPr>
      <w:tcPr>
        <w:shd w:val="clear" w:color="FFFFFF" w:themeFill="accent4" w:themeFillTint="40" w:themeColor="accent4"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4" w:themeTint="90"/>
          <w:right w:val="none" w:color="000000" w:sz="4" w:space="0"/>
          <w:bottom w:val="single" w:color="000000" w:sz="4" w:space="0" w:themeColor="accent4" w:themeTint="90"/>
        </w:tcBorders>
      </w:tcPr>
    </w:tblStylePr>
  </w:style>
  <w:style w:type="table" w:styleId="114">
    <w:name w:val="List Table 2 - Accent 5"/>
    <w:basedOn w:val="807"/>
    <w:uiPriority w:val="99"/>
    <w:pPr>
      <w:spacing w:lineRule="auto" w:line="240" w:after="0"/>
    </w:pPr>
    <w:tblPr>
      <w:tblStyleRowBandSize w:val="1"/>
      <w:tblStyleColBandSize w:val="1"/>
      <w:tblInd w:w="0" w:type="dxa"/>
      <w:tblBorders>
        <w:top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40" w:themeColor="accent5" w:themeTint="40"/>
      </w:tcPr>
    </w:tblStylePr>
    <w:tblStylePr w:type="band1Vert">
      <w:rPr>
        <w:rFonts w:ascii="Arial" w:hAnsi="Arial"/>
        <w:color w:val="404040"/>
        <w:sz w:val="22"/>
      </w:rPr>
      <w:tcPr>
        <w:shd w:val="clear" w:color="FFFFFF" w:themeFill="accent5" w:themeFillTint="40" w:themeColor="accent5"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5" w:themeTint="90"/>
          <w:right w:val="none" w:color="000000" w:sz="4" w:space="0"/>
          <w:bottom w:val="single" w:color="000000" w:sz="4" w:space="0" w:themeColor="accent5" w:themeTint="90"/>
        </w:tcBorders>
      </w:tcPr>
    </w:tblStylePr>
  </w:style>
  <w:style w:type="table" w:styleId="115">
    <w:name w:val="List Table 2 - Accent 6"/>
    <w:basedOn w:val="807"/>
    <w:uiPriority w:val="99"/>
    <w:pPr>
      <w:spacing w:lineRule="auto" w:line="240" w:after="0"/>
    </w:pPr>
    <w:tblPr>
      <w:tblStyleRowBandSize w:val="1"/>
      <w:tblStyleColBandSize w:val="1"/>
      <w:tblInd w:w="0" w:type="dxa"/>
      <w:tblBorders>
        <w:top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40" w:themeColor="accent6" w:themeTint="40"/>
      </w:tcPr>
    </w:tblStylePr>
    <w:tblStylePr w:type="band1Vert">
      <w:rPr>
        <w:rFonts w:ascii="Arial" w:hAnsi="Arial"/>
        <w:color w:val="404040"/>
        <w:sz w:val="22"/>
      </w:rPr>
      <w:tcPr>
        <w:shd w:val="clear" w:color="FFFFFF" w:themeFill="accent6" w:themeFillTint="40" w:themeColor="accent6" w:themeTint="40"/>
      </w:tcPr>
    </w:tblStylePr>
    <w:tblStylePr w:type="firstCol">
      <w:rPr>
        <w:rFonts w:ascii="Arial" w:hAnsi="Arial"/>
        <w:b/>
        <w:color w:val="404040"/>
        <w:sz w:val="22"/>
      </w:rPr>
    </w:tblStylePr>
    <w:tblStylePr w:type="fir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tblStylePr w:type="lastCol">
      <w:rPr>
        <w:rFonts w:ascii="Arial" w:hAnsi="Arial"/>
        <w:b/>
        <w:color w:val="404040"/>
        <w:sz w:val="22"/>
      </w:rPr>
    </w:tblStylePr>
    <w:tblStylePr w:type="lastRow">
      <w:rPr>
        <w:rFonts w:ascii="Arial" w:hAnsi="Arial"/>
        <w:b/>
        <w:color w:val="404040"/>
        <w:sz w:val="22"/>
      </w:rPr>
      <w:tcPr>
        <w:tcBorders>
          <w:left w:val="none" w:color="000000" w:sz="4" w:space="0"/>
          <w:top w:val="single" w:color="000000" w:sz="4" w:space="0" w:themeColor="accent6" w:themeTint="90"/>
          <w:right w:val="none" w:color="000000" w:sz="4" w:space="0"/>
          <w:bottom w:val="single" w:color="000000" w:sz="4" w:space="0" w:themeColor="accent6" w:themeTint="90"/>
        </w:tcBorders>
      </w:tcPr>
    </w:tblStylePr>
  </w:style>
  <w:style w:type="table" w:styleId="116">
    <w:name w:val="List Table 3"/>
    <w:basedOn w:val="807"/>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tblBorders>
    </w:tblPr>
    <w:tblStylePr w:type="band1Horz">
      <w:rPr>
        <w:rFonts w:ascii="Arial" w:hAnsi="Arial"/>
        <w:color w:val="404040"/>
        <w:sz w:val="22"/>
      </w:rPr>
      <w:tcPr>
        <w:tcBorders>
          <w:top w:val="single" w:color="000000" w:sz="4" w:space="0" w:themeColor="text1"/>
          <w:bottom w:val="single" w:color="000000" w:sz="4" w:space="0" w:themeColor="text1"/>
        </w:tcBorders>
      </w:tcPr>
    </w:tblStylePr>
    <w:tblStylePr w:type="band1Vert">
      <w:rPr>
        <w:rFonts w:ascii="Arial" w:hAnsi="Arial"/>
        <w:color w:val="404040"/>
        <w:sz w:val="22"/>
      </w:rPr>
      <w:tcPr>
        <w:tcBorders>
          <w:left w:val="single" w:color="000000" w:sz="4" w:space="0" w:themeColor="text1"/>
          <w:right w:val="single" w:color="000000" w:sz="4" w:space="0" w:themeColor="text1"/>
        </w:tcBorders>
      </w:tcPr>
    </w:tblStylePr>
    <w:tblStylePr w:type="firstCol">
      <w:rPr>
        <w:b/>
        <w:color w:val="404040"/>
      </w:rPr>
    </w:tblStylePr>
    <w:tblStylePr w:type="firstRow">
      <w:rPr>
        <w:rFonts w:ascii="Arial" w:hAnsi="Arial"/>
        <w:b/>
        <w:color w:val="FFFFFF"/>
        <w:sz w:val="22"/>
      </w:rPr>
      <w:tcPr>
        <w:shd w:val="clear" w:color="FFFFFF" w:themeFill="text1" w:themeColor="text1"/>
      </w:tcPr>
    </w:tblStylePr>
    <w:tblStylePr w:type="lastCol">
      <w:rPr>
        <w:b/>
        <w:color w:val="404040"/>
      </w:rPr>
    </w:tblStylePr>
    <w:tblStylePr w:type="lastRow">
      <w:rPr>
        <w:b/>
        <w:color w:val="404040"/>
      </w:rPr>
    </w:tblStylePr>
  </w:style>
  <w:style w:type="table" w:styleId="117">
    <w:name w:val="List Table 3 - Accent 1"/>
    <w:basedOn w:val="807"/>
    <w:uiPriority w:val="99"/>
    <w:pPr>
      <w:spacing w:lineRule="auto" w:line="240" w:after="0"/>
    </w:pPr>
    <w:tblPr>
      <w:tblStyleRowBandSize w:val="1"/>
      <w:tblStyleColBandSize w:val="1"/>
      <w:tblInd w:w="0" w:type="dxa"/>
      <w:tblBorders>
        <w:left w:val="single" w:color="000000" w:sz="4" w:space="0" w:themeColor="accent1"/>
        <w:top w:val="single" w:color="000000" w:sz="4" w:space="0" w:themeColor="accent1"/>
        <w:right w:val="single" w:color="000000" w:sz="4" w:space="0" w:themeColor="accent1"/>
        <w:bottom w:val="single" w:color="000000" w:sz="4" w:space="0" w:themeColor="accent1"/>
      </w:tblBorders>
    </w:tblPr>
    <w:tblStylePr w:type="band1Horz">
      <w:rPr>
        <w:rFonts w:ascii="Arial" w:hAnsi="Arial"/>
        <w:color w:val="404040"/>
        <w:sz w:val="22"/>
      </w:rPr>
      <w:tcPr>
        <w:tcBorders>
          <w:top w:val="single" w:color="000000" w:sz="4" w:space="0" w:themeColor="accent1"/>
          <w:bottom w:val="single" w:color="000000" w:sz="4" w:space="0" w:themeColor="accent1"/>
        </w:tcBorders>
      </w:tcPr>
    </w:tblStylePr>
    <w:tblStylePr w:type="band1Vert">
      <w:rPr>
        <w:rFonts w:ascii="Arial" w:hAnsi="Arial"/>
        <w:color w:val="404040"/>
        <w:sz w:val="22"/>
      </w:rPr>
      <w:tcPr>
        <w:tcBorders>
          <w:left w:val="single" w:color="000000" w:sz="4" w:space="0" w:themeColor="accent1"/>
          <w:right w:val="single" w:color="000000" w:sz="4" w:space="0" w:themeColor="accent1"/>
        </w:tcBorders>
      </w:tcPr>
    </w:tblStylePr>
    <w:tblStylePr w:type="firstCol">
      <w:rPr>
        <w:b/>
        <w:color w:val="404040"/>
      </w:rPr>
    </w:tblStylePr>
    <w:tblStylePr w:type="firstRow">
      <w:rPr>
        <w:rFonts w:ascii="Arial" w:hAnsi="Arial"/>
        <w:b/>
        <w:color w:val="FFFFFF"/>
        <w:sz w:val="22"/>
      </w:rPr>
      <w:tcPr>
        <w:shd w:val="clear" w:color="FFFFFF" w:themeFill="accent1" w:themeColor="accent1"/>
      </w:tcPr>
    </w:tblStylePr>
    <w:tblStylePr w:type="lastCol">
      <w:rPr>
        <w:b/>
        <w:color w:val="404040"/>
      </w:rPr>
    </w:tblStylePr>
    <w:tblStylePr w:type="lastRow">
      <w:rPr>
        <w:b/>
        <w:color w:val="404040"/>
      </w:rPr>
    </w:tblStylePr>
  </w:style>
  <w:style w:type="table" w:styleId="118">
    <w:name w:val="List Table 3 - Accent 2"/>
    <w:basedOn w:val="807"/>
    <w:uiPriority w:val="99"/>
    <w:pPr>
      <w:spacing w:lineRule="auto" w:line="240" w:after="0"/>
    </w:pPr>
    <w:tblPr>
      <w:tblStyleRowBandSize w:val="1"/>
      <w:tblStyleColBandSize w:val="1"/>
      <w:tblInd w:w="0" w:type="dxa"/>
      <w:tblBorders>
        <w:left w:val="single" w:color="000000" w:sz="4" w:space="0" w:themeColor="accent2" w:themeTint="97"/>
        <w:top w:val="single" w:color="000000" w:sz="4" w:space="0" w:themeColor="accent2" w:themeTint="97"/>
        <w:right w:val="single" w:color="000000" w:sz="4" w:space="0" w:themeColor="accent2" w:themeTint="97"/>
        <w:bottom w:val="single" w:color="000000" w:sz="4" w:space="0" w:themeColor="accent2" w:themeTint="97"/>
      </w:tblBorders>
    </w:tblPr>
    <w:tblStylePr w:type="band1Horz">
      <w:rPr>
        <w:rFonts w:ascii="Arial" w:hAnsi="Arial"/>
        <w:color w:val="404040"/>
        <w:sz w:val="22"/>
      </w:rPr>
      <w:tcPr>
        <w:tcBorders>
          <w:top w:val="single" w:color="000000" w:sz="4" w:space="0" w:themeColor="accent2" w:themeTint="97"/>
          <w:bottom w:val="single" w:color="000000" w:sz="4" w:space="0" w:themeColor="accent2" w:themeTint="97"/>
        </w:tcBorders>
      </w:tcPr>
    </w:tblStylePr>
    <w:tblStylePr w:type="band1Vert">
      <w:rPr>
        <w:rFonts w:ascii="Arial" w:hAnsi="Arial"/>
        <w:color w:val="404040"/>
        <w:sz w:val="22"/>
      </w:rPr>
      <w:tcPr>
        <w:tcBorders>
          <w:left w:val="single" w:color="000000" w:sz="4" w:space="0" w:themeColor="accent2" w:themeTint="97"/>
          <w:right w:val="single" w:color="000000" w:sz="4" w:space="0" w:themeColor="accent2" w:themeTint="97"/>
        </w:tcBorders>
      </w:tcPr>
    </w:tblStylePr>
    <w:tblStylePr w:type="firstCol">
      <w:rPr>
        <w:b/>
        <w:color w:val="404040"/>
      </w:rPr>
    </w:tblStylePr>
    <w:tblStylePr w:type="firstRow">
      <w:rPr>
        <w:rFonts w:ascii="Arial" w:hAnsi="Arial"/>
        <w:b/>
        <w:color w:val="FFFFFF"/>
        <w:sz w:val="22"/>
      </w:rPr>
      <w:tcPr>
        <w:shd w:val="clear" w:color="FFFFFF" w:themeFill="accent2" w:themeFillTint="97" w:themeColor="accent2" w:themeTint="97"/>
      </w:tcPr>
    </w:tblStylePr>
    <w:tblStylePr w:type="lastCol">
      <w:rPr>
        <w:b/>
        <w:color w:val="404040"/>
      </w:rPr>
    </w:tblStylePr>
    <w:tblStylePr w:type="lastRow">
      <w:rPr>
        <w:b/>
        <w:color w:val="404040"/>
      </w:rPr>
    </w:tblStylePr>
  </w:style>
  <w:style w:type="table" w:styleId="119">
    <w:name w:val="List Table 3 - Accent 3"/>
    <w:basedOn w:val="807"/>
    <w:uiPriority w:val="99"/>
    <w:pPr>
      <w:spacing w:lineRule="auto" w:line="240" w:after="0"/>
    </w:pPr>
    <w:tblPr>
      <w:tblStyleRowBandSize w:val="1"/>
      <w:tblStyleColBandSize w:val="1"/>
      <w:tblInd w:w="0" w:type="dxa"/>
      <w:tblBorders>
        <w:left w:val="single" w:color="000000" w:sz="4" w:space="0" w:themeColor="accent3" w:themeTint="98"/>
        <w:top w:val="single" w:color="000000" w:sz="4" w:space="0" w:themeColor="accent3" w:themeTint="98"/>
        <w:right w:val="single" w:color="000000" w:sz="4" w:space="0" w:themeColor="accent3" w:themeTint="98"/>
        <w:bottom w:val="single" w:color="000000" w:sz="4" w:space="0" w:themeColor="accent3" w:themeTint="98"/>
      </w:tblBorders>
    </w:tblPr>
    <w:tblStylePr w:type="band1Horz">
      <w:rPr>
        <w:rFonts w:ascii="Arial" w:hAnsi="Arial"/>
        <w:color w:val="404040"/>
        <w:sz w:val="22"/>
      </w:rPr>
      <w:tcPr>
        <w:tcBorders>
          <w:top w:val="single" w:color="000000" w:sz="4" w:space="0" w:themeColor="accent3" w:themeTint="98"/>
          <w:bottom w:val="single" w:color="000000" w:sz="4" w:space="0" w:themeColor="accent3" w:themeTint="98"/>
        </w:tcBorders>
      </w:tcPr>
    </w:tblStylePr>
    <w:tblStylePr w:type="band1Vert">
      <w:rPr>
        <w:rFonts w:ascii="Arial" w:hAnsi="Arial"/>
        <w:color w:val="404040"/>
        <w:sz w:val="22"/>
      </w:rPr>
      <w:tcPr>
        <w:tcBorders>
          <w:left w:val="single" w:color="000000" w:sz="4" w:space="0" w:themeColor="accent3" w:themeTint="98"/>
          <w:right w:val="single" w:color="000000" w:sz="4" w:space="0" w:themeColor="accent3" w:themeTint="98"/>
        </w:tcBorders>
      </w:tcPr>
    </w:tblStylePr>
    <w:tblStylePr w:type="firstCol">
      <w:rPr>
        <w:b/>
        <w:color w:val="404040"/>
      </w:rPr>
    </w:tblStylePr>
    <w:tblStylePr w:type="firstRow">
      <w:rPr>
        <w:rFonts w:ascii="Arial" w:hAnsi="Arial"/>
        <w:b/>
        <w:color w:val="FFFFFF"/>
        <w:sz w:val="22"/>
      </w:rPr>
      <w:tcPr>
        <w:shd w:val="clear" w:color="FFFFFF" w:themeFill="accent3" w:themeFillTint="98" w:themeColor="accent3" w:themeTint="98"/>
      </w:tcPr>
    </w:tblStylePr>
    <w:tblStylePr w:type="lastCol">
      <w:rPr>
        <w:b/>
        <w:color w:val="404040"/>
      </w:rPr>
    </w:tblStylePr>
    <w:tblStylePr w:type="lastRow">
      <w:rPr>
        <w:b/>
        <w:color w:val="404040"/>
      </w:rPr>
    </w:tblStylePr>
  </w:style>
  <w:style w:type="table" w:styleId="120">
    <w:name w:val="List Table 3 - Accent 4"/>
    <w:basedOn w:val="807"/>
    <w:uiPriority w:val="99"/>
    <w:pPr>
      <w:spacing w:lineRule="auto" w:line="240" w:after="0"/>
    </w:pPr>
    <w:tblPr>
      <w:tblStyleRowBandSize w:val="1"/>
      <w:tblStyleColBandSize w:val="1"/>
      <w:tblInd w:w="0" w:type="dxa"/>
      <w:tblBorders>
        <w:left w:val="single" w:color="000000" w:sz="4" w:space="0" w:themeColor="accent4" w:themeTint="9A"/>
        <w:top w:val="single" w:color="000000" w:sz="4" w:space="0" w:themeColor="accent4" w:themeTint="9A"/>
        <w:right w:val="single" w:color="000000" w:sz="4" w:space="0" w:themeColor="accent4" w:themeTint="9A"/>
        <w:bottom w:val="single" w:color="000000" w:sz="4" w:space="0" w:themeColor="accent4" w:themeTint="9A"/>
      </w:tblBorders>
    </w:tblPr>
    <w:tblStylePr w:type="band1Horz">
      <w:rPr>
        <w:rFonts w:ascii="Arial" w:hAnsi="Arial"/>
        <w:color w:val="404040"/>
        <w:sz w:val="22"/>
      </w:rPr>
      <w:tcPr>
        <w:tcBorders>
          <w:top w:val="single" w:color="000000" w:sz="4" w:space="0" w:themeColor="accent4" w:themeTint="9A"/>
          <w:bottom w:val="single" w:color="000000" w:sz="4" w:space="0" w:themeColor="accent4" w:themeTint="9A"/>
        </w:tcBorders>
      </w:tcPr>
    </w:tblStylePr>
    <w:tblStylePr w:type="band1Vert">
      <w:rPr>
        <w:rFonts w:ascii="Arial" w:hAnsi="Arial"/>
        <w:color w:val="404040"/>
        <w:sz w:val="22"/>
      </w:rPr>
      <w:tcPr>
        <w:tcBorders>
          <w:left w:val="single" w:color="000000" w:sz="4" w:space="0" w:themeColor="accent4" w:themeTint="9A"/>
          <w:right w:val="single" w:color="000000" w:sz="4" w:space="0" w:themeColor="accent4" w:themeTint="9A"/>
        </w:tcBorders>
      </w:tcPr>
    </w:tblStylePr>
    <w:tblStylePr w:type="firstCol">
      <w:rPr>
        <w:b/>
        <w:color w:val="404040"/>
      </w:rPr>
    </w:tblStylePr>
    <w:tblStylePr w:type="firstRow">
      <w:rPr>
        <w:rFonts w:ascii="Arial" w:hAnsi="Arial"/>
        <w:b/>
        <w:color w:val="FFFFFF"/>
        <w:sz w:val="22"/>
      </w:rPr>
      <w:tcPr>
        <w:shd w:val="clear" w:color="FFFFFF" w:themeFill="accent4" w:themeFillTint="9A" w:themeColor="accent4" w:themeTint="9A"/>
      </w:tcPr>
    </w:tblStylePr>
    <w:tblStylePr w:type="lastCol">
      <w:rPr>
        <w:b/>
        <w:color w:val="404040"/>
      </w:rPr>
    </w:tblStylePr>
    <w:tblStylePr w:type="lastRow">
      <w:rPr>
        <w:b/>
        <w:color w:val="404040"/>
      </w:rPr>
    </w:tblStylePr>
  </w:style>
  <w:style w:type="table" w:styleId="121">
    <w:name w:val="List Table 3 - Accent 5"/>
    <w:basedOn w:val="807"/>
    <w:uiPriority w:val="99"/>
    <w:pPr>
      <w:spacing w:lineRule="auto" w:line="240" w:after="0"/>
    </w:pPr>
    <w:tblPr>
      <w:tblStyleRowBandSize w:val="1"/>
      <w:tblStyleColBandSize w:val="1"/>
      <w:tblInd w:w="0" w:type="dxa"/>
      <w:tblBorders>
        <w:left w:val="single" w:color="000000" w:sz="4" w:space="0" w:themeColor="accent5" w:themeTint="9A"/>
        <w:top w:val="single" w:color="000000" w:sz="4" w:space="0" w:themeColor="accent5" w:themeTint="9A"/>
        <w:right w:val="single" w:color="000000" w:sz="4" w:space="0" w:themeColor="accent5" w:themeTint="9A"/>
        <w:bottom w:val="single" w:color="000000" w:sz="4" w:space="0" w:themeColor="accent5" w:themeTint="9A"/>
      </w:tblBorders>
    </w:tblPr>
    <w:tblStylePr w:type="band1Horz">
      <w:rPr>
        <w:rFonts w:ascii="Arial" w:hAnsi="Arial"/>
        <w:color w:val="404040"/>
        <w:sz w:val="22"/>
      </w:rPr>
      <w:tcPr>
        <w:tcBorders>
          <w:top w:val="single" w:color="000000" w:sz="4" w:space="0" w:themeColor="accent5" w:themeTint="9A"/>
          <w:bottom w:val="single" w:color="000000" w:sz="4" w:space="0" w:themeColor="accent5" w:themeTint="9A"/>
        </w:tcBorders>
      </w:tcPr>
    </w:tblStylePr>
    <w:tblStylePr w:type="band1Vert">
      <w:rPr>
        <w:rFonts w:ascii="Arial" w:hAnsi="Arial"/>
        <w:color w:val="404040"/>
        <w:sz w:val="22"/>
      </w:rPr>
      <w:tcPr>
        <w:tcBorders>
          <w:left w:val="single" w:color="000000" w:sz="4" w:space="0" w:themeColor="accent5" w:themeTint="9A"/>
          <w:right w:val="single" w:color="000000" w:sz="4" w:space="0" w:themeColor="accent5" w:themeTint="9A"/>
        </w:tcBorders>
      </w:tcPr>
    </w:tblStylePr>
    <w:tblStylePr w:type="firstCol">
      <w:rPr>
        <w:b/>
        <w:color w:val="404040"/>
      </w:rPr>
    </w:tblStylePr>
    <w:tblStylePr w:type="firstRow">
      <w:rPr>
        <w:rFonts w:ascii="Arial" w:hAnsi="Arial"/>
        <w:b/>
        <w:color w:val="FFFFFF"/>
        <w:sz w:val="22"/>
      </w:rPr>
      <w:tcPr>
        <w:shd w:val="clear" w:color="FFFFFF" w:themeFill="accent5" w:themeFillTint="9A" w:themeColor="accent5" w:themeTint="9A"/>
      </w:tcPr>
    </w:tblStylePr>
    <w:tblStylePr w:type="lastCol">
      <w:rPr>
        <w:b/>
        <w:color w:val="404040"/>
      </w:rPr>
    </w:tblStylePr>
    <w:tblStylePr w:type="lastRow">
      <w:rPr>
        <w:b/>
        <w:color w:val="404040"/>
      </w:rPr>
    </w:tblStylePr>
  </w:style>
  <w:style w:type="table" w:styleId="122">
    <w:name w:val="List Table 3 - Accent 6"/>
    <w:basedOn w:val="807"/>
    <w:uiPriority w:val="99"/>
    <w:pPr>
      <w:spacing w:lineRule="auto" w:line="240" w:after="0"/>
    </w:pPr>
    <w:tblPr>
      <w:tblStyleRowBandSize w:val="1"/>
      <w:tblStyleColBandSize w:val="1"/>
      <w:tblInd w:w="0" w:type="dxa"/>
      <w:tblBorders>
        <w:left w:val="single" w:color="000000" w:sz="4" w:space="0" w:themeColor="accent6" w:themeTint="98"/>
        <w:top w:val="single" w:color="000000" w:sz="4" w:space="0" w:themeColor="accent6" w:themeTint="98"/>
        <w:right w:val="single" w:color="000000" w:sz="4" w:space="0" w:themeColor="accent6" w:themeTint="98"/>
        <w:bottom w:val="single" w:color="000000" w:sz="4" w:space="0" w:themeColor="accent6" w:themeTint="98"/>
      </w:tblBorders>
    </w:tblPr>
    <w:tblStylePr w:type="band1Horz">
      <w:rPr>
        <w:rFonts w:ascii="Arial" w:hAnsi="Arial"/>
        <w:color w:val="404040"/>
        <w:sz w:val="22"/>
      </w:rPr>
      <w:tcPr>
        <w:tcBorders>
          <w:top w:val="single" w:color="000000" w:sz="4" w:space="0" w:themeColor="accent6" w:themeTint="98"/>
          <w:bottom w:val="single" w:color="000000" w:sz="4" w:space="0" w:themeColor="accent6" w:themeTint="98"/>
        </w:tcBorders>
      </w:tcPr>
    </w:tblStylePr>
    <w:tblStylePr w:type="band1Vert">
      <w:rPr>
        <w:rFonts w:ascii="Arial" w:hAnsi="Arial"/>
        <w:color w:val="404040"/>
        <w:sz w:val="22"/>
      </w:rPr>
      <w:tcPr>
        <w:tcBorders>
          <w:left w:val="single" w:color="000000" w:sz="4" w:space="0" w:themeColor="accent6" w:themeTint="98"/>
          <w:right w:val="single" w:color="000000" w:sz="4" w:space="0" w:themeColor="accent6" w:themeTint="98"/>
        </w:tcBorders>
      </w:tcPr>
    </w:tblStylePr>
    <w:tblStylePr w:type="firstCol">
      <w:rPr>
        <w:b/>
        <w:color w:val="404040"/>
      </w:rPr>
    </w:tblStylePr>
    <w:tblStylePr w:type="firstRow">
      <w:rPr>
        <w:rFonts w:ascii="Arial" w:hAnsi="Arial"/>
        <w:b/>
        <w:color w:val="FFFFFF"/>
        <w:sz w:val="22"/>
      </w:rPr>
      <w:tcPr>
        <w:shd w:val="clear" w:color="FFFFFF" w:themeFill="accent6" w:themeFillTint="98" w:themeColor="accent6" w:themeTint="98"/>
      </w:tcPr>
    </w:tblStylePr>
    <w:tblStylePr w:type="lastCol">
      <w:rPr>
        <w:b/>
        <w:color w:val="404040"/>
      </w:rPr>
    </w:tblStylePr>
    <w:tblStylePr w:type="lastRow">
      <w:rPr>
        <w:b/>
        <w:color w:val="404040"/>
      </w:rPr>
    </w:tblStylePr>
  </w:style>
  <w:style w:type="table" w:styleId="123">
    <w:name w:val="List Table 4"/>
    <w:basedOn w:val="807"/>
    <w:uiPriority w:val="99"/>
    <w:pPr>
      <w:spacing w:lineRule="auto" w:line="240" w:after="0"/>
    </w:pPr>
    <w:tblPr>
      <w:tblStyleRowBandSize w:val="1"/>
      <w:tblStyleColBandSize w:val="1"/>
      <w:tblInd w:w="0" w:type="dxa"/>
      <w:tblBorders>
        <w:left w:val="single" w:color="000000" w:sz="4" w:space="0" w:themeColor="text1"/>
        <w:top w:val="single" w:color="000000" w:sz="4" w:space="0" w:themeColor="text1"/>
        <w:right w:val="single" w:color="000000" w:sz="4" w:space="0" w:themeColor="text1"/>
        <w:bottom w:val="single" w:color="000000" w:sz="4" w:space="0" w:themeColor="text1"/>
        <w:insideH w:val="single" w:color="000000" w:sz="4" w:space="0" w:themeColor="text1"/>
      </w:tblBorders>
    </w:tblPr>
    <w:tblStylePr w:type="band1Horz">
      <w:rPr>
        <w:rFonts w:ascii="Arial" w:hAnsi="Arial"/>
        <w:color w:val="404040"/>
        <w:sz w:val="22"/>
      </w:rPr>
      <w:tcPr>
        <w:shd w:val="clear" w:color="FFFFFF" w:themeFill="text1" w:themeFillTint="40" w:themeColor="text1" w:themeTint="40"/>
      </w:tcPr>
    </w:tblStylePr>
    <w:tblStylePr w:type="band1Vert">
      <w:rPr>
        <w:rFonts w:ascii="Arial" w:hAnsi="Arial"/>
        <w:color w:val="404040"/>
        <w:sz w:val="22"/>
      </w:rPr>
      <w:tcPr>
        <w:shd w:val="clear" w:color="FFFFFF" w:themeFill="text1" w:themeFillTint="40" w:themeColor="text1" w:themeTint="40"/>
      </w:tcPr>
    </w:tblStylePr>
    <w:tblStylePr w:type="firstCol">
      <w:rPr>
        <w:b/>
        <w:color w:val="404040"/>
      </w:rPr>
    </w:tblStylePr>
    <w:tblStylePr w:type="firstRow">
      <w:rPr>
        <w:rFonts w:ascii="Arial" w:hAnsi="Arial"/>
        <w:b/>
        <w:color w:val="FFFFFF"/>
        <w:sz w:val="22"/>
      </w:rPr>
      <w:tcPr>
        <w:shd w:val="clear" w:color="FFFFFF" w:themeFill="text1" w:themeColor="text1"/>
      </w:tcPr>
    </w:tblStylePr>
    <w:tblStylePr w:type="lastCol">
      <w:rPr>
        <w:b/>
        <w:color w:val="404040"/>
      </w:rPr>
    </w:tblStylePr>
    <w:tblStylePr w:type="lastRow">
      <w:rPr>
        <w:b/>
        <w:color w:val="404040"/>
      </w:rPr>
    </w:tblStylePr>
  </w:style>
  <w:style w:type="table" w:styleId="124">
    <w:name w:val="List Table 4 - Accent 1"/>
    <w:basedOn w:val="807"/>
    <w:uiPriority w:val="99"/>
    <w:pPr>
      <w:spacing w:lineRule="auto" w:line="240" w:after="0"/>
    </w:pPr>
    <w:tblPr>
      <w:tblStyleRowBandSize w:val="1"/>
      <w:tblStyleColBandSize w:val="1"/>
      <w:tblInd w:w="0" w:type="dxa"/>
      <w:tblBorders>
        <w:left w:val="single" w:color="000000" w:sz="4" w:space="0" w:themeColor="accent1" w:themeTint="90"/>
        <w:top w:val="single" w:color="000000" w:sz="4" w:space="0" w:themeColor="accent1" w:themeTint="90"/>
        <w:right w:val="single" w:color="000000" w:sz="4" w:space="0" w:themeColor="accent1" w:themeTint="90"/>
        <w:bottom w:val="single" w:color="000000" w:sz="4" w:space="0" w:themeColor="accent1" w:themeTint="90"/>
        <w:insideH w:val="single" w:color="000000" w:sz="4" w:space="0" w:themeColor="accent1" w:themeTint="90"/>
      </w:tblBorders>
    </w:tblPr>
    <w:tblStylePr w:type="band1Horz">
      <w:rPr>
        <w:rFonts w:ascii="Arial" w:hAnsi="Arial"/>
        <w:color w:val="404040"/>
        <w:sz w:val="22"/>
      </w:rPr>
      <w:tcPr>
        <w:shd w:val="clear" w:color="FFFFFF" w:themeFill="accent1" w:themeFillTint="40" w:themeColor="accent1" w:themeTint="40"/>
      </w:tcPr>
    </w:tblStylePr>
    <w:tblStylePr w:type="band1Vert">
      <w:rPr>
        <w:rFonts w:ascii="Arial" w:hAnsi="Arial"/>
        <w:color w:val="404040"/>
        <w:sz w:val="22"/>
      </w:rPr>
      <w:tcPr>
        <w:shd w:val="clear" w:color="FFFFFF" w:themeFill="accent1" w:themeFillTint="40" w:themeColor="accent1" w:themeTint="40"/>
      </w:tcPr>
    </w:tblStylePr>
    <w:tblStylePr w:type="firstCol">
      <w:rPr>
        <w:b/>
        <w:color w:val="404040"/>
      </w:rPr>
    </w:tblStylePr>
    <w:tblStylePr w:type="firstRow">
      <w:rPr>
        <w:rFonts w:ascii="Arial" w:hAnsi="Arial"/>
        <w:b/>
        <w:color w:val="FFFFFF"/>
        <w:sz w:val="22"/>
      </w:rPr>
      <w:tcPr>
        <w:shd w:val="clear" w:color="FFFFFF" w:themeFill="accent1" w:themeColor="accent1"/>
      </w:tcPr>
    </w:tblStylePr>
    <w:tblStylePr w:type="lastCol">
      <w:rPr>
        <w:b/>
        <w:color w:val="404040"/>
      </w:rPr>
    </w:tblStylePr>
    <w:tblStylePr w:type="lastRow">
      <w:rPr>
        <w:b/>
        <w:color w:val="404040"/>
      </w:rPr>
    </w:tblStylePr>
  </w:style>
  <w:style w:type="table" w:styleId="125">
    <w:name w:val="List Table 4 - Accent 2"/>
    <w:basedOn w:val="807"/>
    <w:uiPriority w:val="99"/>
    <w:pPr>
      <w:spacing w:lineRule="auto" w:line="240" w:after="0"/>
    </w:pPr>
    <w:tblPr>
      <w:tblStyleRowBandSize w:val="1"/>
      <w:tblStyleColBandSize w:val="1"/>
      <w:tblInd w:w="0" w:type="dxa"/>
      <w:tblBorders>
        <w:left w:val="single" w:color="000000" w:sz="4" w:space="0" w:themeColor="accent2" w:themeTint="90"/>
        <w:top w:val="single" w:color="000000" w:sz="4" w:space="0" w:themeColor="accent2" w:themeTint="90"/>
        <w:right w:val="single" w:color="000000" w:sz="4" w:space="0" w:themeColor="accent2" w:themeTint="90"/>
        <w:bottom w:val="single" w:color="000000" w:sz="4" w:space="0" w:themeColor="accent2" w:themeTint="90"/>
        <w:insideH w:val="single" w:color="000000" w:sz="4" w:space="0" w:themeColor="accent2" w:themeTint="90"/>
      </w:tblBorders>
    </w:tblPr>
    <w:tblStylePr w:type="band1Horz">
      <w:rPr>
        <w:rFonts w:ascii="Arial" w:hAnsi="Arial"/>
        <w:color w:val="404040"/>
        <w:sz w:val="22"/>
      </w:rPr>
      <w:tcPr>
        <w:shd w:val="clear" w:color="FFFFFF" w:themeFill="accent2" w:themeFillTint="40" w:themeColor="accent2" w:themeTint="40"/>
      </w:tcPr>
    </w:tblStylePr>
    <w:tblStylePr w:type="band1Vert">
      <w:rPr>
        <w:rFonts w:ascii="Arial" w:hAnsi="Arial"/>
        <w:color w:val="404040"/>
        <w:sz w:val="22"/>
      </w:rPr>
      <w:tcPr>
        <w:shd w:val="clear" w:color="FFFFFF" w:themeFill="accent2" w:themeFillTint="40" w:themeColor="accent2" w:themeTint="40"/>
      </w:tcPr>
    </w:tblStylePr>
    <w:tblStylePr w:type="firstCol">
      <w:rPr>
        <w:b/>
        <w:color w:val="404040"/>
      </w:rPr>
    </w:tblStylePr>
    <w:tblStylePr w:type="firstRow">
      <w:rPr>
        <w:rFonts w:ascii="Arial" w:hAnsi="Arial"/>
        <w:b/>
        <w:color w:val="FFFFFF"/>
        <w:sz w:val="22"/>
      </w:rPr>
      <w:tcPr>
        <w:shd w:val="clear" w:color="FFFFFF" w:themeFill="accent2" w:themeColor="accent2"/>
      </w:tcPr>
    </w:tblStylePr>
    <w:tblStylePr w:type="lastCol">
      <w:rPr>
        <w:b/>
        <w:color w:val="404040"/>
      </w:rPr>
    </w:tblStylePr>
    <w:tblStylePr w:type="lastRow">
      <w:rPr>
        <w:b/>
        <w:color w:val="404040"/>
      </w:rPr>
    </w:tblStylePr>
  </w:style>
  <w:style w:type="table" w:styleId="126">
    <w:name w:val="List Table 4 - Accent 3"/>
    <w:basedOn w:val="807"/>
    <w:uiPriority w:val="99"/>
    <w:pPr>
      <w:spacing w:lineRule="auto" w:line="240" w:after="0"/>
    </w:pPr>
    <w:tblPr>
      <w:tblStyleRowBandSize w:val="1"/>
      <w:tblStyleColBandSize w:val="1"/>
      <w:tblInd w:w="0" w:type="dxa"/>
      <w:tblBorders>
        <w:left w:val="single" w:color="000000" w:sz="4" w:space="0" w:themeColor="accent3" w:themeTint="90"/>
        <w:top w:val="single" w:color="000000" w:sz="4" w:space="0" w:themeColor="accent3" w:themeTint="90"/>
        <w:right w:val="single" w:color="000000" w:sz="4" w:space="0" w:themeColor="accent3" w:themeTint="90"/>
        <w:bottom w:val="single" w:color="000000" w:sz="4" w:space="0" w:themeColor="accent3" w:themeTint="90"/>
        <w:insideH w:val="single" w:color="000000" w:sz="4" w:space="0" w:themeColor="accent3" w:themeTint="90"/>
      </w:tblBorders>
    </w:tblPr>
    <w:tblStylePr w:type="band1Horz">
      <w:rPr>
        <w:rFonts w:ascii="Arial" w:hAnsi="Arial"/>
        <w:color w:val="404040"/>
        <w:sz w:val="22"/>
      </w:rPr>
      <w:tcPr>
        <w:shd w:val="clear" w:color="FFFFFF" w:themeFill="accent3" w:themeFillTint="40" w:themeColor="accent3" w:themeTint="40"/>
      </w:tcPr>
    </w:tblStylePr>
    <w:tblStylePr w:type="band1Vert">
      <w:rPr>
        <w:rFonts w:ascii="Arial" w:hAnsi="Arial"/>
        <w:color w:val="404040"/>
        <w:sz w:val="22"/>
      </w:rPr>
      <w:tcPr>
        <w:shd w:val="clear" w:color="FFFFFF" w:themeFill="accent3" w:themeFillTint="40" w:themeColor="accent3" w:themeTint="40"/>
      </w:tcPr>
    </w:tblStylePr>
    <w:tblStylePr w:type="firstCol">
      <w:rPr>
        <w:b/>
        <w:color w:val="404040"/>
      </w:rPr>
    </w:tblStylePr>
    <w:tblStylePr w:type="firstRow">
      <w:rPr>
        <w:rFonts w:ascii="Arial" w:hAnsi="Arial"/>
        <w:b/>
        <w:color w:val="FFFFFF"/>
        <w:sz w:val="22"/>
      </w:rPr>
      <w:tcPr>
        <w:shd w:val="clear" w:color="FFFFFF" w:themeFill="accent3" w:themeColor="accent3"/>
      </w:tcPr>
    </w:tblStylePr>
    <w:tblStylePr w:type="lastCol">
      <w:rPr>
        <w:b/>
        <w:color w:val="404040"/>
      </w:rPr>
    </w:tblStylePr>
    <w:tblStylePr w:type="lastRow">
      <w:rPr>
        <w:b/>
        <w:color w:val="404040"/>
      </w:rPr>
    </w:tblStylePr>
  </w:style>
  <w:style w:type="table" w:styleId="127">
    <w:name w:val="List Table 4 - Accent 4"/>
    <w:basedOn w:val="807"/>
    <w:uiPriority w:val="99"/>
    <w:pPr>
      <w:spacing w:lineRule="auto" w:line="240" w:after="0"/>
    </w:pPr>
    <w:tblPr>
      <w:tblStyleRowBandSize w:val="1"/>
      <w:tblStyleColBandSize w:val="1"/>
      <w:tblInd w:w="0" w:type="dxa"/>
      <w:tblBorders>
        <w:left w:val="single" w:color="000000" w:sz="4" w:space="0" w:themeColor="accent4" w:themeTint="90"/>
        <w:top w:val="single" w:color="000000" w:sz="4" w:space="0" w:themeColor="accent4" w:themeTint="90"/>
        <w:right w:val="single" w:color="000000" w:sz="4" w:space="0" w:themeColor="accent4" w:themeTint="90"/>
        <w:bottom w:val="single" w:color="000000" w:sz="4" w:space="0" w:themeColor="accent4" w:themeTint="90"/>
        <w:insideH w:val="single" w:color="000000" w:sz="4" w:space="0" w:themeColor="accent4" w:themeTint="90"/>
      </w:tblBorders>
    </w:tblPr>
    <w:tblStylePr w:type="band1Horz">
      <w:rPr>
        <w:rFonts w:ascii="Arial" w:hAnsi="Arial"/>
        <w:color w:val="404040"/>
        <w:sz w:val="22"/>
      </w:rPr>
      <w:tcPr>
        <w:shd w:val="clear" w:color="FFFFFF" w:themeFill="accent4" w:themeFillTint="40" w:themeColor="accent4" w:themeTint="40"/>
      </w:tcPr>
    </w:tblStylePr>
    <w:tblStylePr w:type="band1Vert">
      <w:rPr>
        <w:rFonts w:ascii="Arial" w:hAnsi="Arial"/>
        <w:color w:val="404040"/>
        <w:sz w:val="22"/>
      </w:rPr>
      <w:tcPr>
        <w:shd w:val="clear" w:color="FFFFFF" w:themeFill="accent4" w:themeFillTint="40" w:themeColor="accent4" w:themeTint="40"/>
      </w:tcPr>
    </w:tblStylePr>
    <w:tblStylePr w:type="firstCol">
      <w:rPr>
        <w:b/>
        <w:color w:val="404040"/>
      </w:rPr>
    </w:tblStylePr>
    <w:tblStylePr w:type="firstRow">
      <w:rPr>
        <w:rFonts w:ascii="Arial" w:hAnsi="Arial"/>
        <w:b/>
        <w:color w:val="FFFFFF"/>
        <w:sz w:val="22"/>
      </w:rPr>
      <w:tcPr>
        <w:shd w:val="clear" w:color="FFFFFF" w:themeFill="accent4" w:themeColor="accent4"/>
      </w:tcPr>
    </w:tblStylePr>
    <w:tblStylePr w:type="lastCol">
      <w:rPr>
        <w:b/>
        <w:color w:val="404040"/>
      </w:rPr>
    </w:tblStylePr>
    <w:tblStylePr w:type="lastRow">
      <w:rPr>
        <w:b/>
        <w:color w:val="404040"/>
      </w:rPr>
    </w:tblStylePr>
  </w:style>
  <w:style w:type="table" w:styleId="128">
    <w:name w:val="List Table 4 - Accent 5"/>
    <w:basedOn w:val="807"/>
    <w:uiPriority w:val="99"/>
    <w:pPr>
      <w:spacing w:lineRule="auto" w:line="240" w:after="0"/>
    </w:pPr>
    <w:tblPr>
      <w:tblStyleRowBandSize w:val="1"/>
      <w:tblStyleColBandSize w:val="1"/>
      <w:tblInd w:w="0" w:type="dxa"/>
      <w:tblBorders>
        <w:left w:val="single" w:color="000000" w:sz="4" w:space="0" w:themeColor="accent5" w:themeTint="90"/>
        <w:top w:val="single" w:color="000000" w:sz="4" w:space="0" w:themeColor="accent5" w:themeTint="90"/>
        <w:right w:val="single" w:color="000000" w:sz="4" w:space="0" w:themeColor="accent5" w:themeTint="90"/>
        <w:bottom w:val="single" w:color="000000" w:sz="4" w:space="0" w:themeColor="accent5" w:themeTint="90"/>
        <w:insideH w:val="single" w:color="000000" w:sz="4" w:space="0" w:themeColor="accent5" w:themeTint="90"/>
      </w:tblBorders>
    </w:tblPr>
    <w:tblStylePr w:type="band1Horz">
      <w:rPr>
        <w:rFonts w:ascii="Arial" w:hAnsi="Arial"/>
        <w:color w:val="404040"/>
        <w:sz w:val="22"/>
      </w:rPr>
      <w:tcPr>
        <w:shd w:val="clear" w:color="FFFFFF" w:themeFill="accent5" w:themeFillTint="40" w:themeColor="accent5" w:themeTint="40"/>
      </w:tcPr>
    </w:tblStylePr>
    <w:tblStylePr w:type="band1Vert">
      <w:rPr>
        <w:rFonts w:ascii="Arial" w:hAnsi="Arial"/>
        <w:color w:val="404040"/>
        <w:sz w:val="22"/>
      </w:rPr>
      <w:tcPr>
        <w:shd w:val="clear" w:color="FFFFFF" w:themeFill="accent5" w:themeFillTint="40" w:themeColor="accent5" w:themeTint="40"/>
      </w:tcPr>
    </w:tblStylePr>
    <w:tblStylePr w:type="firstCol">
      <w:rPr>
        <w:b/>
        <w:color w:val="404040"/>
      </w:rPr>
    </w:tblStylePr>
    <w:tblStylePr w:type="firstRow">
      <w:rPr>
        <w:rFonts w:ascii="Arial" w:hAnsi="Arial"/>
        <w:b/>
        <w:color w:val="FFFFFF"/>
        <w:sz w:val="22"/>
      </w:rPr>
      <w:tcPr>
        <w:shd w:val="clear" w:color="FFFFFF" w:themeFill="accent5" w:themeColor="accent5"/>
      </w:tcPr>
    </w:tblStylePr>
    <w:tblStylePr w:type="lastCol">
      <w:rPr>
        <w:b/>
        <w:color w:val="404040"/>
      </w:rPr>
    </w:tblStylePr>
    <w:tblStylePr w:type="lastRow">
      <w:rPr>
        <w:b/>
        <w:color w:val="404040"/>
      </w:rPr>
    </w:tblStylePr>
  </w:style>
  <w:style w:type="table" w:styleId="129">
    <w:name w:val="List Table 4 - Accent 6"/>
    <w:basedOn w:val="807"/>
    <w:uiPriority w:val="99"/>
    <w:pPr>
      <w:spacing w:lineRule="auto" w:line="240" w:after="0"/>
    </w:pPr>
    <w:tblPr>
      <w:tblStyleRowBandSize w:val="1"/>
      <w:tblStyleColBandSize w:val="1"/>
      <w:tblInd w:w="0" w:type="dxa"/>
      <w:tblBorders>
        <w:left w:val="single" w:color="000000" w:sz="4" w:space="0" w:themeColor="accent6" w:themeTint="90"/>
        <w:top w:val="single" w:color="000000" w:sz="4" w:space="0" w:themeColor="accent6" w:themeTint="90"/>
        <w:right w:val="single" w:color="000000" w:sz="4" w:space="0" w:themeColor="accent6" w:themeTint="90"/>
        <w:bottom w:val="single" w:color="000000" w:sz="4" w:space="0" w:themeColor="accent6" w:themeTint="90"/>
        <w:insideH w:val="single" w:color="000000" w:sz="4" w:space="0" w:themeColor="accent6" w:themeTint="90"/>
      </w:tblBorders>
    </w:tblPr>
    <w:tblStylePr w:type="band1Horz">
      <w:rPr>
        <w:rFonts w:ascii="Arial" w:hAnsi="Arial"/>
        <w:color w:val="404040"/>
        <w:sz w:val="22"/>
      </w:rPr>
      <w:tcPr>
        <w:shd w:val="clear" w:color="FFFFFF" w:themeFill="accent6" w:themeFillTint="40" w:themeColor="accent6" w:themeTint="40"/>
      </w:tcPr>
    </w:tblStylePr>
    <w:tblStylePr w:type="band1Vert">
      <w:rPr>
        <w:rFonts w:ascii="Arial" w:hAnsi="Arial"/>
        <w:color w:val="404040"/>
        <w:sz w:val="22"/>
      </w:rPr>
      <w:tcPr>
        <w:shd w:val="clear" w:color="FFFFFF" w:themeFill="accent6" w:themeFillTint="40" w:themeColor="accent6" w:themeTint="40"/>
      </w:tcPr>
    </w:tblStylePr>
    <w:tblStylePr w:type="firstCol">
      <w:rPr>
        <w:b/>
        <w:color w:val="404040"/>
      </w:rPr>
    </w:tblStylePr>
    <w:tblStylePr w:type="firstRow">
      <w:rPr>
        <w:rFonts w:ascii="Arial" w:hAnsi="Arial"/>
        <w:b/>
        <w:color w:val="FFFFFF"/>
        <w:sz w:val="22"/>
      </w:rPr>
      <w:tcPr>
        <w:shd w:val="clear" w:color="FFFFFF" w:themeFill="accent6" w:themeColor="accent6"/>
      </w:tcPr>
    </w:tblStylePr>
    <w:tblStylePr w:type="lastCol">
      <w:rPr>
        <w:b/>
        <w:color w:val="404040"/>
      </w:rPr>
    </w:tblStylePr>
    <w:tblStylePr w:type="lastRow">
      <w:rPr>
        <w:b/>
        <w:color w:val="404040"/>
      </w:rPr>
    </w:tblStylePr>
  </w:style>
  <w:style w:type="table" w:styleId="130">
    <w:name w:val="List Table 5 Dark"/>
    <w:basedOn w:val="807"/>
    <w:uiPriority w:val="99"/>
    <w:pPr>
      <w:spacing w:lineRule="auto" w:line="240" w:after="0"/>
    </w:pPr>
    <w:tblPr>
      <w:tblStyleRowBandSize w:val="1"/>
      <w:tblStyleColBandSize w:val="1"/>
      <w:tblInd w:w="0" w:type="dxa"/>
      <w:tblBorders>
        <w:left w:val="single" w:color="000000" w:sz="32" w:space="0" w:themeColor="text1" w:themeTint="80"/>
        <w:top w:val="single" w:color="000000" w:sz="32" w:space="0" w:themeColor="text1" w:themeTint="80"/>
        <w:right w:val="single" w:color="000000" w:sz="32" w:space="0" w:themeColor="text1" w:themeTint="80"/>
        <w:bottom w:val="single" w:color="000000" w:sz="32" w:space="0" w:themeColor="text1" w:themeTint="80"/>
      </w:tblBorders>
      <w:shd w:val="clear" w:color="FFFFFF" w:themeFill="text1" w:themeFillTint="80" w:themeColor="text1" w:themeTint="80"/>
    </w:tblPr>
    <w:tblStylePr w:type="band1Horz">
      <w:tcPr>
        <w:shd w:val="clear" w:color="FFFFFF" w:themeFill="text1" w:themeFillTint="80" w:themeColor="text1" w:themeTint="80"/>
        <w:tcBorders>
          <w:top w:val="single" w:color="000000" w:sz="4" w:space="0" w:themeColor="light1"/>
          <w:bottom w:val="single" w:color="000000" w:sz="4" w:space="0" w:themeColor="light1"/>
        </w:tcBorders>
      </w:tcPr>
    </w:tblStylePr>
    <w:tblStylePr w:type="band1Vert">
      <w:tcPr>
        <w:shd w:val="clear" w:color="FFFFFF" w:themeFill="text1" w:themeFillTint="80" w:themeColor="text1" w:themeTint="80"/>
        <w:tcBorders>
          <w:left w:val="single" w:color="000000" w:sz="4" w:space="0" w:themeColor="light1"/>
          <w:right w:val="single" w:color="000000" w:sz="4" w:space="0" w:themeColor="light1"/>
        </w:tcBorders>
      </w:tcPr>
    </w:tblStylePr>
    <w:tblStylePr w:type="band2Horz">
      <w:tcPr>
        <w:shd w:val="clear" w:color="FFFFFF" w:themeFill="text1" w:themeFillTint="80" w:themeColor="text1" w:themeTint="80"/>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text1" w:themeTint="80"/>
          <w:right w:val="single" w:color="000000" w:sz="4" w:space="0" w:themeColor="light1"/>
        </w:tcBorders>
      </w:tcPr>
    </w:tblStylePr>
    <w:tblStylePr w:type="firstRow">
      <w:rPr>
        <w:rFonts w:ascii="Arial" w:hAnsi="Arial"/>
        <w:b/>
        <w:color w:val="FFFFFF" w:themeColor="light1"/>
        <w:sz w:val="22"/>
      </w:rPr>
      <w:tcPr>
        <w:shd w:val="clear" w:color="FFFFFF" w:themeFill="text1" w:themeFillTint="80" w:themeColor="text1" w:themeTint="80"/>
        <w:tcBorders>
          <w:top w:val="single" w:color="000000" w:sz="32" w:space="0" w:themeColor="text1" w:themeTint="80"/>
          <w:bottom w:val="single" w:color="000000" w:sz="12" w:space="0" w:themeColor="light1"/>
        </w:tcBorders>
      </w:tcPr>
    </w:tblStylePr>
    <w:tblStylePr w:type="lastCol">
      <w:tcPr>
        <w:tcBorders>
          <w:left w:val="single" w:color="000000" w:sz="4" w:space="0" w:themeColor="light1"/>
          <w:right w:val="single" w:color="000000" w:sz="32" w:space="0" w:themeColor="text1" w:themeTint="8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1">
    <w:name w:val="List Table 5 Dark - Accent 1"/>
    <w:basedOn w:val="807"/>
    <w:uiPriority w:val="99"/>
    <w:pPr>
      <w:spacing w:lineRule="auto" w:line="240" w:after="0"/>
    </w:pPr>
    <w:tblPr>
      <w:tblStyleRowBandSize w:val="1"/>
      <w:tblStyleColBandSize w:val="1"/>
      <w:tblInd w:w="0" w:type="dxa"/>
      <w:tblBorders>
        <w:left w:val="single" w:color="000000" w:sz="32" w:space="0" w:themeColor="accent1"/>
        <w:top w:val="single" w:color="000000" w:sz="32" w:space="0" w:themeColor="accent1"/>
        <w:right w:val="single" w:color="000000" w:sz="32" w:space="0" w:themeColor="accent1"/>
        <w:bottom w:val="single" w:color="000000" w:sz="32" w:space="0" w:themeColor="accent1"/>
      </w:tblBorders>
      <w:shd w:val="clear" w:color="FFFFFF" w:themeFill="accent1" w:themeColor="accent1"/>
    </w:tblPr>
    <w:tblStylePr w:type="band1Horz">
      <w:tcPr>
        <w:shd w:val="clear" w:color="FFFFFF" w:themeFill="accent1" w:themeColor="accent1"/>
        <w:tcBorders>
          <w:top w:val="single" w:color="000000" w:sz="4" w:space="0" w:themeColor="light1"/>
          <w:bottom w:val="single" w:color="000000" w:sz="4" w:space="0" w:themeColor="light1"/>
        </w:tcBorders>
      </w:tcPr>
    </w:tblStylePr>
    <w:tblStylePr w:type="band1Vert">
      <w:tcPr>
        <w:shd w:val="clear" w:color="FFFFFF" w:themeFill="accent1" w:themeColor="accent1"/>
        <w:tcBorders>
          <w:left w:val="single" w:color="000000" w:sz="4" w:space="0" w:themeColor="light1"/>
          <w:right w:val="single" w:color="000000" w:sz="4" w:space="0" w:themeColor="light1"/>
        </w:tcBorders>
      </w:tcPr>
    </w:tblStylePr>
    <w:tblStylePr w:type="band2Horz">
      <w:tcPr>
        <w:shd w:val="clear" w:color="FFFFFF" w:themeFill="accent1" w:themeColor="accent1"/>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1"/>
          <w:right w:val="single" w:color="000000" w:sz="4" w:space="0" w:themeColor="light1"/>
        </w:tcBorders>
      </w:tcPr>
    </w:tblStylePr>
    <w:tblStylePr w:type="firstRow">
      <w:rPr>
        <w:rFonts w:ascii="Arial" w:hAnsi="Arial"/>
        <w:b/>
        <w:color w:val="FFFFFF" w:themeColor="light1"/>
        <w:sz w:val="22"/>
      </w:rPr>
      <w:tcPr>
        <w:shd w:val="clear" w:color="FFFFFF" w:themeFill="accent1" w:themeColor="accent1"/>
        <w:tcBorders>
          <w:top w:val="single" w:color="000000" w:sz="32" w:space="0" w:themeColor="accent1"/>
          <w:bottom w:val="single" w:color="000000" w:sz="12" w:space="0" w:themeColor="light1"/>
        </w:tcBorders>
      </w:tcPr>
    </w:tblStylePr>
    <w:tblStylePr w:type="lastCol">
      <w:tcPr>
        <w:tcBorders>
          <w:left w:val="single" w:color="000000" w:sz="4" w:space="0" w:themeColor="light1"/>
          <w:right w:val="single" w:color="000000" w:sz="32" w:space="0" w:themeColor="accent1"/>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2"/>
    <w:basedOn w:val="807"/>
    <w:uiPriority w:val="99"/>
    <w:pPr>
      <w:spacing w:lineRule="auto" w:line="240" w:after="0"/>
    </w:pPr>
    <w:tblPr>
      <w:tblStyleRowBandSize w:val="1"/>
      <w:tblStyleColBandSize w:val="1"/>
      <w:tblInd w:w="0" w:type="dxa"/>
      <w:tblBorders>
        <w:left w:val="single" w:color="000000" w:sz="32" w:space="0" w:themeColor="accent2" w:themeTint="97"/>
        <w:top w:val="single" w:color="000000" w:sz="32" w:space="0" w:themeColor="accent2" w:themeTint="97"/>
        <w:right w:val="single" w:color="000000" w:sz="32" w:space="0" w:themeColor="accent2" w:themeTint="97"/>
        <w:bottom w:val="single" w:color="000000" w:sz="32" w:space="0" w:themeColor="accent2" w:themeTint="97"/>
      </w:tblBorders>
      <w:shd w:val="clear" w:color="FFFFFF" w:themeFill="accent2" w:themeFillTint="97" w:themeColor="accent2" w:themeTint="97"/>
    </w:tblPr>
    <w:tblStylePr w:type="band1Horz">
      <w:tcPr>
        <w:shd w:val="clear" w:color="FFFFFF" w:themeFill="accent2" w:themeFillTint="97" w:themeColor="accent2" w:themeTint="97"/>
        <w:tcBorders>
          <w:top w:val="single" w:color="000000" w:sz="4" w:space="0" w:themeColor="light1"/>
          <w:bottom w:val="single" w:color="000000" w:sz="4" w:space="0" w:themeColor="light1"/>
        </w:tcBorders>
      </w:tcPr>
    </w:tblStylePr>
    <w:tblStylePr w:type="band1Vert">
      <w:tcPr>
        <w:shd w:val="clear" w:color="FFFFFF" w:themeFill="accent2" w:themeFillTint="97" w:themeColor="accent2" w:themeTint="97"/>
        <w:tcBorders>
          <w:left w:val="single" w:color="000000" w:sz="4" w:space="0" w:themeColor="light1"/>
          <w:right w:val="single" w:color="000000" w:sz="4" w:space="0" w:themeColor="light1"/>
        </w:tcBorders>
      </w:tcPr>
    </w:tblStylePr>
    <w:tblStylePr w:type="band2Horz">
      <w:tcPr>
        <w:shd w:val="clear" w:color="FFFFFF" w:themeFill="accent2" w:themeFillTint="97" w:themeColor="accent2" w:themeTint="97"/>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2" w:themeTint="97"/>
          <w:right w:val="single" w:color="000000" w:sz="4" w:space="0" w:themeColor="light1"/>
        </w:tcBorders>
      </w:tcPr>
    </w:tblStylePr>
    <w:tblStylePr w:type="firstRow">
      <w:rPr>
        <w:rFonts w:ascii="Arial" w:hAnsi="Arial"/>
        <w:b/>
        <w:color w:val="FFFFFF" w:themeColor="light1"/>
        <w:sz w:val="22"/>
      </w:rPr>
      <w:tcPr>
        <w:shd w:val="clear" w:color="FFFFFF" w:themeFill="accent2" w:themeFillTint="97" w:themeColor="accent2" w:themeTint="97"/>
        <w:tcBorders>
          <w:top w:val="single" w:color="000000" w:sz="32" w:space="0" w:themeColor="accent2" w:themeTint="97"/>
          <w:bottom w:val="single" w:color="000000" w:sz="12" w:space="0" w:themeColor="light1"/>
        </w:tcBorders>
      </w:tcPr>
    </w:tblStylePr>
    <w:tblStylePr w:type="lastCol">
      <w:tcPr>
        <w:tcBorders>
          <w:left w:val="single" w:color="000000" w:sz="4" w:space="0" w:themeColor="light1"/>
          <w:right w:val="single" w:color="000000" w:sz="32" w:space="0" w:themeColor="accent2" w:themeTint="97"/>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3"/>
    <w:basedOn w:val="807"/>
    <w:uiPriority w:val="99"/>
    <w:pPr>
      <w:spacing w:lineRule="auto" w:line="240" w:after="0"/>
    </w:pPr>
    <w:tblPr>
      <w:tblStyleRowBandSize w:val="1"/>
      <w:tblStyleColBandSize w:val="1"/>
      <w:tblInd w:w="0" w:type="dxa"/>
      <w:tblBorders>
        <w:left w:val="single" w:color="000000" w:sz="32" w:space="0" w:themeColor="accent3" w:themeTint="98"/>
        <w:top w:val="single" w:color="000000" w:sz="32" w:space="0" w:themeColor="accent3" w:themeTint="98"/>
        <w:right w:val="single" w:color="000000" w:sz="32" w:space="0" w:themeColor="accent3" w:themeTint="98"/>
        <w:bottom w:val="single" w:color="000000" w:sz="32" w:space="0" w:themeColor="accent3" w:themeTint="98"/>
      </w:tblBorders>
      <w:shd w:val="clear" w:color="FFFFFF" w:themeFill="accent3" w:themeFillTint="98" w:themeColor="accent3" w:themeTint="98"/>
    </w:tblPr>
    <w:tblStylePr w:type="band1Horz">
      <w:tcPr>
        <w:shd w:val="clear" w:color="FFFFFF" w:themeFill="accent3" w:themeFillTint="98" w:themeColor="accent3" w:themeTint="98"/>
        <w:tcBorders>
          <w:top w:val="single" w:color="000000" w:sz="4" w:space="0" w:themeColor="light1"/>
          <w:bottom w:val="single" w:color="000000" w:sz="4" w:space="0" w:themeColor="light1"/>
        </w:tcBorders>
      </w:tcPr>
    </w:tblStylePr>
    <w:tblStylePr w:type="band1Vert">
      <w:tcPr>
        <w:shd w:val="clear" w:color="FFFFFF" w:themeFill="accent3" w:themeFillTint="98" w:themeColor="accent3" w:themeTint="98"/>
        <w:tcBorders>
          <w:left w:val="single" w:color="000000" w:sz="4" w:space="0" w:themeColor="light1"/>
          <w:right w:val="single" w:color="000000" w:sz="4" w:space="0" w:themeColor="light1"/>
        </w:tcBorders>
      </w:tcPr>
    </w:tblStylePr>
    <w:tblStylePr w:type="band2Horz">
      <w:tcPr>
        <w:shd w:val="clear" w:color="FFFFFF" w:themeFill="accent3" w:themeFillTint="98" w:themeColor="accent3"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3" w:themeTint="98"/>
          <w:right w:val="single" w:color="000000" w:sz="4" w:space="0" w:themeColor="light1"/>
        </w:tcBorders>
      </w:tcPr>
    </w:tblStylePr>
    <w:tblStylePr w:type="firstRow">
      <w:rPr>
        <w:rFonts w:ascii="Arial" w:hAnsi="Arial"/>
        <w:b/>
        <w:color w:val="FFFFFF" w:themeColor="light1"/>
        <w:sz w:val="22"/>
      </w:rPr>
      <w:tcPr>
        <w:shd w:val="clear" w:color="FFFFFF" w:themeFill="accent3" w:themeFillTint="98" w:themeColor="accent3" w:themeTint="98"/>
        <w:tcBorders>
          <w:top w:val="single" w:color="000000" w:sz="32" w:space="0" w:themeColor="accent3" w:themeTint="98"/>
          <w:bottom w:val="single" w:color="000000" w:sz="12" w:space="0" w:themeColor="light1"/>
        </w:tcBorders>
      </w:tcPr>
    </w:tblStylePr>
    <w:tblStylePr w:type="lastCol">
      <w:tcPr>
        <w:tcBorders>
          <w:left w:val="single" w:color="000000" w:sz="4" w:space="0" w:themeColor="light1"/>
          <w:right w:val="single" w:color="000000" w:sz="32" w:space="0" w:themeColor="accent3"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4"/>
    <w:basedOn w:val="807"/>
    <w:uiPriority w:val="99"/>
    <w:pPr>
      <w:spacing w:lineRule="auto" w:line="240" w:after="0"/>
    </w:pPr>
    <w:tblPr>
      <w:tblStyleRowBandSize w:val="1"/>
      <w:tblStyleColBandSize w:val="1"/>
      <w:tblInd w:w="0" w:type="dxa"/>
      <w:tblBorders>
        <w:left w:val="single" w:color="000000" w:sz="32" w:space="0" w:themeColor="accent4" w:themeTint="9A"/>
        <w:top w:val="single" w:color="000000" w:sz="32" w:space="0" w:themeColor="accent4" w:themeTint="9A"/>
        <w:right w:val="single" w:color="000000" w:sz="32" w:space="0" w:themeColor="accent4" w:themeTint="9A"/>
        <w:bottom w:val="single" w:color="000000" w:sz="32" w:space="0" w:themeColor="accent4" w:themeTint="9A"/>
      </w:tblBorders>
      <w:shd w:val="clear" w:color="FFFFFF" w:themeFill="accent4" w:themeFillTint="9A" w:themeColor="accent4" w:themeTint="9A"/>
    </w:tblPr>
    <w:tblStylePr w:type="band1Horz">
      <w:tcPr>
        <w:shd w:val="clear" w:color="FFFFFF" w:themeFill="accent4" w:themeFillTint="9A" w:themeColor="accent4" w:themeTint="9A"/>
        <w:tcBorders>
          <w:top w:val="single" w:color="000000" w:sz="4" w:space="0" w:themeColor="light1"/>
          <w:bottom w:val="single" w:color="000000" w:sz="4" w:space="0" w:themeColor="light1"/>
        </w:tcBorders>
      </w:tcPr>
    </w:tblStylePr>
    <w:tblStylePr w:type="band1Vert">
      <w:tcPr>
        <w:shd w:val="clear" w:color="FFFFFF" w:themeFill="accent4" w:themeFillTint="9A" w:themeColor="accent4" w:themeTint="9A"/>
        <w:tcBorders>
          <w:left w:val="single" w:color="000000" w:sz="4" w:space="0" w:themeColor="light1"/>
          <w:right w:val="single" w:color="000000" w:sz="4" w:space="0" w:themeColor="light1"/>
        </w:tcBorders>
      </w:tcPr>
    </w:tblStylePr>
    <w:tblStylePr w:type="band2Horz">
      <w:tcPr>
        <w:shd w:val="clear" w:color="FFFFFF" w:themeFill="accent4" w:themeFillTint="9A" w:themeColor="accent4"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4" w:themeTint="9A"/>
          <w:right w:val="single" w:color="000000" w:sz="4" w:space="0" w:themeColor="light1"/>
        </w:tcBorders>
      </w:tcPr>
    </w:tblStylePr>
    <w:tblStylePr w:type="firstRow">
      <w:rPr>
        <w:rFonts w:ascii="Arial" w:hAnsi="Arial"/>
        <w:b/>
        <w:color w:val="FFFFFF" w:themeColor="light1"/>
        <w:sz w:val="22"/>
      </w:rPr>
      <w:tcPr>
        <w:shd w:val="clear" w:color="FFFFFF" w:themeFill="accent4" w:themeFillTint="9A" w:themeColor="accent4" w:themeTint="9A"/>
        <w:tcBorders>
          <w:top w:val="single" w:color="000000" w:sz="32" w:space="0" w:themeColor="accent4" w:themeTint="9A"/>
          <w:bottom w:val="single" w:color="000000" w:sz="12" w:space="0" w:themeColor="light1"/>
        </w:tcBorders>
      </w:tcPr>
    </w:tblStylePr>
    <w:tblStylePr w:type="lastCol">
      <w:tcPr>
        <w:tcBorders>
          <w:left w:val="single" w:color="000000" w:sz="4" w:space="0" w:themeColor="light1"/>
          <w:right w:val="single" w:color="000000" w:sz="32" w:space="0" w:themeColor="accent4"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5"/>
    <w:basedOn w:val="807"/>
    <w:uiPriority w:val="99"/>
    <w:pPr>
      <w:spacing w:lineRule="auto" w:line="240" w:after="0"/>
    </w:pPr>
    <w:tblPr>
      <w:tblStyleRowBandSize w:val="1"/>
      <w:tblStyleColBandSize w:val="1"/>
      <w:tblInd w:w="0" w:type="dxa"/>
      <w:tblBorders>
        <w:left w:val="single" w:color="000000" w:sz="32" w:space="0" w:themeColor="accent5" w:themeTint="9A"/>
        <w:top w:val="single" w:color="000000" w:sz="32" w:space="0" w:themeColor="accent5" w:themeTint="9A"/>
        <w:right w:val="single" w:color="000000" w:sz="32" w:space="0" w:themeColor="accent5" w:themeTint="9A"/>
        <w:bottom w:val="single" w:color="000000" w:sz="32" w:space="0" w:themeColor="accent5" w:themeTint="9A"/>
      </w:tblBorders>
      <w:shd w:val="clear" w:color="FFFFFF" w:themeFill="accent5" w:themeFillTint="9A" w:themeColor="accent5" w:themeTint="9A"/>
    </w:tblPr>
    <w:tblStylePr w:type="band1Horz">
      <w:tcPr>
        <w:shd w:val="clear" w:color="FFFFFF" w:themeFill="accent5" w:themeFillTint="9A" w:themeColor="accent5" w:themeTint="9A"/>
        <w:tcBorders>
          <w:top w:val="single" w:color="000000" w:sz="4" w:space="0" w:themeColor="light1"/>
          <w:bottom w:val="single" w:color="000000" w:sz="4" w:space="0" w:themeColor="light1"/>
        </w:tcBorders>
      </w:tcPr>
    </w:tblStylePr>
    <w:tblStylePr w:type="band1Vert">
      <w:tcPr>
        <w:shd w:val="clear" w:color="FFFFFF" w:themeFill="accent5" w:themeFillTint="9A" w:themeColor="accent5" w:themeTint="9A"/>
        <w:tcBorders>
          <w:left w:val="single" w:color="000000" w:sz="4" w:space="0" w:themeColor="light1"/>
          <w:right w:val="single" w:color="000000" w:sz="4" w:space="0" w:themeColor="light1"/>
        </w:tcBorders>
      </w:tcPr>
    </w:tblStylePr>
    <w:tblStylePr w:type="band2Horz">
      <w:tcPr>
        <w:shd w:val="clear" w:color="FFFFFF" w:themeFill="accent5" w:themeFillTint="9A" w:themeColor="accent5" w:themeTint="9A"/>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5" w:themeTint="9A"/>
          <w:right w:val="single" w:color="000000" w:sz="4" w:space="0" w:themeColor="light1"/>
        </w:tcBorders>
      </w:tcPr>
    </w:tblStylePr>
    <w:tblStylePr w:type="firstRow">
      <w:rPr>
        <w:rFonts w:ascii="Arial" w:hAnsi="Arial"/>
        <w:b/>
        <w:color w:val="FFFFFF" w:themeColor="light1"/>
        <w:sz w:val="22"/>
      </w:rPr>
      <w:tcPr>
        <w:shd w:val="clear" w:color="FFFFFF" w:themeFill="accent5" w:themeFillTint="9A" w:themeColor="accent5" w:themeTint="9A"/>
        <w:tcBorders>
          <w:top w:val="single" w:color="000000" w:sz="32" w:space="0" w:themeColor="accent5" w:themeTint="9A"/>
          <w:bottom w:val="single" w:color="000000" w:sz="12" w:space="0" w:themeColor="light1"/>
        </w:tcBorders>
      </w:tcPr>
    </w:tblStylePr>
    <w:tblStylePr w:type="lastCol">
      <w:tcPr>
        <w:tcBorders>
          <w:left w:val="single" w:color="000000" w:sz="4" w:space="0" w:themeColor="light1"/>
          <w:right w:val="single" w:color="000000" w:sz="32" w:space="0" w:themeColor="accent5" w:themeTint="9A"/>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6"/>
    <w:basedOn w:val="807"/>
    <w:uiPriority w:val="99"/>
    <w:pPr>
      <w:spacing w:lineRule="auto" w:line="240" w:after="0"/>
    </w:pPr>
    <w:tblPr>
      <w:tblStyleRowBandSize w:val="1"/>
      <w:tblStyleColBandSize w:val="1"/>
      <w:tblInd w:w="0" w:type="dxa"/>
      <w:tblBorders>
        <w:left w:val="single" w:color="000000" w:sz="32" w:space="0" w:themeColor="accent6" w:themeTint="98"/>
        <w:top w:val="single" w:color="000000" w:sz="32" w:space="0" w:themeColor="accent6" w:themeTint="98"/>
        <w:right w:val="single" w:color="000000" w:sz="32" w:space="0" w:themeColor="accent6" w:themeTint="98"/>
        <w:bottom w:val="single" w:color="000000" w:sz="32" w:space="0" w:themeColor="accent6" w:themeTint="98"/>
      </w:tblBorders>
      <w:shd w:val="clear" w:color="FFFFFF" w:themeFill="accent6" w:themeFillTint="98" w:themeColor="accent6" w:themeTint="98"/>
    </w:tblPr>
    <w:tblStylePr w:type="band1Horz">
      <w:tcPr>
        <w:shd w:val="clear" w:color="FFFFFF" w:themeFill="accent6" w:themeFillTint="98" w:themeColor="accent6" w:themeTint="98"/>
        <w:tcBorders>
          <w:top w:val="single" w:color="000000" w:sz="4" w:space="0" w:themeColor="light1"/>
          <w:bottom w:val="single" w:color="000000" w:sz="4" w:space="0" w:themeColor="light1"/>
        </w:tcBorders>
      </w:tcPr>
    </w:tblStylePr>
    <w:tblStylePr w:type="band1Vert">
      <w:tcPr>
        <w:shd w:val="clear" w:color="FFFFFF" w:themeFill="accent6" w:themeFillTint="98" w:themeColor="accent6" w:themeTint="98"/>
        <w:tcBorders>
          <w:left w:val="single" w:color="000000" w:sz="4" w:space="0" w:themeColor="light1"/>
          <w:right w:val="single" w:color="000000" w:sz="4" w:space="0" w:themeColor="light1"/>
        </w:tcBorders>
      </w:tcPr>
    </w:tblStylePr>
    <w:tblStylePr w:type="band2Horz">
      <w:tcPr>
        <w:shd w:val="clear" w:color="FFFFFF" w:themeFill="accent6" w:themeFillTint="98" w:themeColor="accent6" w:themeTint="98"/>
        <w:tcBorders>
          <w:top w:val="single" w:color="000000" w:sz="4" w:space="0" w:themeColor="light1"/>
          <w:bottom w:val="single" w:color="000000" w:sz="4" w:space="0" w:themeColor="light1"/>
        </w:tcBorders>
      </w:tcPr>
    </w:tblStylePr>
    <w:tblStylePr w:type="band2Vert">
      <w:tcPr>
        <w:tcBorders>
          <w:left w:val="single" w:color="000000" w:sz="4" w:space="0" w:themeColor="light1"/>
          <w:right w:val="single" w:color="000000" w:sz="4" w:space="0" w:themeColor="light1"/>
        </w:tcBorders>
      </w:tcPr>
    </w:tblStylePr>
    <w:tblStylePr w:type="firstCol">
      <w:rPr>
        <w:rFonts w:ascii="Arial" w:hAnsi="Arial"/>
        <w:b/>
        <w:color w:val="FFFFFF" w:themeColor="light1"/>
        <w:sz w:val="22"/>
      </w:rPr>
      <w:tcPr>
        <w:tcBorders>
          <w:left w:val="single" w:color="000000" w:sz="32" w:space="0" w:themeColor="accent6" w:themeTint="98"/>
          <w:right w:val="single" w:color="000000" w:sz="4" w:space="0" w:themeColor="light1"/>
        </w:tcBorders>
      </w:tcPr>
    </w:tblStylePr>
    <w:tblStylePr w:type="firstRow">
      <w:rPr>
        <w:rFonts w:ascii="Arial" w:hAnsi="Arial"/>
        <w:b/>
        <w:color w:val="FFFFFF" w:themeColor="light1"/>
        <w:sz w:val="22"/>
      </w:rPr>
      <w:tcPr>
        <w:shd w:val="clear" w:color="FFFFFF" w:themeFill="accent6" w:themeFillTint="98" w:themeColor="accent6" w:themeTint="98"/>
        <w:tcBorders>
          <w:top w:val="single" w:color="000000" w:sz="32" w:space="0" w:themeColor="accent6" w:themeTint="98"/>
          <w:bottom w:val="single" w:color="000000" w:sz="12" w:space="0" w:themeColor="light1"/>
        </w:tcBorders>
      </w:tcPr>
    </w:tblStylePr>
    <w:tblStylePr w:type="lastCol">
      <w:tcPr>
        <w:tcBorders>
          <w:left w:val="single" w:color="000000" w:sz="4" w:space="0" w:themeColor="light1"/>
          <w:right w:val="single" w:color="000000" w:sz="32" w:space="0" w:themeColor="accent6" w:themeTint="98"/>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6 Colorful"/>
    <w:basedOn w:val="807"/>
    <w:uiPriority w:val="99"/>
    <w:pPr>
      <w:spacing w:lineRule="auto" w:line="240" w:after="0"/>
    </w:pPr>
    <w:tblPr>
      <w:tblStyleRowBandSize w:val="1"/>
      <w:tblStyleColBandSize w:val="1"/>
      <w:tblInd w:w="0" w:type="dxa"/>
      <w:tblBorders>
        <w:top w:val="single" w:color="000000" w:sz="4" w:space="0" w:themeColor="text1" w:themeTint="80"/>
        <w:bottom w:val="single" w:color="000000" w:sz="4" w:space="0" w:themeColor="text1" w:themeTint="80"/>
      </w:tblBorders>
    </w:tblPr>
    <w:tblStylePr w:type="band1Horz">
      <w:rPr>
        <w:rFonts w:ascii="Arial" w:hAnsi="Arial"/>
        <w:color w:val="404040" w:themeColor="text1"/>
        <w:sz w:val="22"/>
      </w:rPr>
      <w:tcPr>
        <w:shd w:val="clear" w:color="FFFFFF" w:themeFill="text1" w:themeFillTint="40" w:themeColor="text1" w:themeTint="40"/>
      </w:tcPr>
    </w:tblStylePr>
    <w:tblStylePr w:type="band1Vert">
      <w:tcPr>
        <w:shd w:val="clear" w:color="FFFFFF" w:themeFill="text1" w:themeFillTint="40" w:themeColor="text1" w:theme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sz="4" w:space="0" w:themeColor="text1" w:themeTint="80"/>
        </w:tcBorders>
      </w:tcPr>
    </w:tblStylePr>
    <w:tblStylePr w:type="lastCol">
      <w:rPr>
        <w:b/>
        <w:color w:val="000000" w:themeColor="text1"/>
      </w:rPr>
    </w:tblStylePr>
    <w:tblStylePr w:type="lastRow">
      <w:rPr>
        <w:b/>
        <w:color w:val="000000" w:themeColor="text1"/>
      </w:rPr>
      <w:tcPr>
        <w:tcBorders>
          <w:top w:val="single" w:color="000000" w:sz="4" w:space="0" w:themeColor="text1" w:themeTint="80"/>
        </w:tcBorders>
      </w:tcPr>
    </w:tblStylePr>
  </w:style>
  <w:style w:type="table" w:styleId="138">
    <w:name w:val="List Table 6 Colorful - Accent 1"/>
    <w:basedOn w:val="807"/>
    <w:uiPriority w:val="99"/>
    <w:pPr>
      <w:spacing w:lineRule="auto" w:line="240" w:after="0"/>
    </w:pPr>
    <w:tblPr>
      <w:tblStyleRowBandSize w:val="1"/>
      <w:tblStyleColBandSize w:val="1"/>
      <w:tblInd w:w="0" w:type="dxa"/>
      <w:tblBorders>
        <w:top w:val="single" w:color="000000" w:sz="4" w:space="0" w:themeColor="accent1"/>
        <w:bottom w:val="single" w:color="000000" w:sz="4" w:space="0" w:themeColor="accent1"/>
      </w:tblBorders>
    </w:tblPr>
    <w:tblStylePr w:type="band1Horz">
      <w:rPr>
        <w:rFonts w:ascii="Arial" w:hAnsi="Arial"/>
        <w:color w:val="404040" w:themeColor="accent1" w:themeShade="95"/>
        <w:sz w:val="22"/>
      </w:rPr>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sz="4" w:space="0" w:themeColor="accent1"/>
        </w:tcBorders>
      </w:tcPr>
    </w:tblStylePr>
    <w:tblStylePr w:type="lastCol">
      <w:rPr>
        <w:b/>
        <w:color w:val="2A4B71" w:themeColor="accent1" w:themeShade="95"/>
      </w:rPr>
    </w:tblStylePr>
    <w:tblStylePr w:type="lastRow">
      <w:rPr>
        <w:b/>
        <w:color w:val="2A4B71" w:themeColor="accent1" w:themeShade="95"/>
      </w:rPr>
      <w:tcPr>
        <w:tcBorders>
          <w:top w:val="single" w:color="000000" w:sz="4" w:space="0" w:themeColor="accent1"/>
        </w:tcBorders>
      </w:tcPr>
    </w:tblStylePr>
  </w:style>
  <w:style w:type="table" w:styleId="139">
    <w:name w:val="List Table 6 Colorful - Accent 2"/>
    <w:basedOn w:val="807"/>
    <w:uiPriority w:val="99"/>
    <w:pPr>
      <w:spacing w:lineRule="auto" w:line="240" w:after="0"/>
    </w:pPr>
    <w:tblPr>
      <w:tblStyleRowBandSize w:val="1"/>
      <w:tblStyleColBandSize w:val="1"/>
      <w:tblInd w:w="0" w:type="dxa"/>
      <w:tblBorders>
        <w:top w:val="single" w:color="000000" w:sz="4" w:space="0" w:themeColor="accent2" w:themeTint="97"/>
        <w:bottom w:val="single" w:color="000000" w:sz="4" w:space="0" w:themeColor="accent2" w:themeTint="97"/>
      </w:tblBorders>
    </w:tblPr>
    <w:tblStylePr w:type="band1Horz">
      <w:rPr>
        <w:rFonts w:ascii="Arial" w:hAnsi="Arial"/>
        <w:color w:val="404040" w:themeColor="accent2" w:themeTint="97" w:themeShade="95"/>
        <w:sz w:val="22"/>
      </w:rPr>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sz="4" w:space="0" w:themeColor="accent2" w:themeTint="97"/>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sz="4" w:space="0" w:themeColor="accent2" w:themeTint="97"/>
        </w:tcBorders>
      </w:tcPr>
    </w:tblStylePr>
  </w:style>
  <w:style w:type="table" w:styleId="140">
    <w:name w:val="List Table 6 Colorful - Accent 3"/>
    <w:basedOn w:val="807"/>
    <w:uiPriority w:val="99"/>
    <w:pPr>
      <w:spacing w:lineRule="auto" w:line="240" w:after="0"/>
    </w:pPr>
    <w:tblPr>
      <w:tblStyleRowBandSize w:val="1"/>
      <w:tblStyleColBandSize w:val="1"/>
      <w:tblInd w:w="0" w:type="dxa"/>
      <w:tblBorders>
        <w:top w:val="single" w:color="000000" w:sz="4" w:space="0" w:themeColor="accent3" w:themeTint="98"/>
        <w:bottom w:val="single" w:color="000000" w:sz="4" w:space="0" w:themeColor="accent3" w:themeTint="98"/>
      </w:tblBorders>
    </w:tblPr>
    <w:tblStylePr w:type="band1Horz">
      <w:rPr>
        <w:rFonts w:ascii="Arial" w:hAnsi="Arial"/>
        <w:color w:val="404040" w:themeColor="accent3" w:themeTint="98" w:themeShade="95"/>
        <w:sz w:val="22"/>
      </w:rPr>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sz="4" w:space="0" w:themeColor="accent3" w:themeTint="98"/>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sz="4" w:space="0" w:themeColor="accent3" w:themeTint="98"/>
        </w:tcBorders>
      </w:tcPr>
    </w:tblStylePr>
  </w:style>
  <w:style w:type="table" w:styleId="141">
    <w:name w:val="List Table 6 Colorful - Accent 4"/>
    <w:basedOn w:val="807"/>
    <w:uiPriority w:val="99"/>
    <w:pPr>
      <w:spacing w:lineRule="auto" w:line="240" w:after="0"/>
    </w:pPr>
    <w:tblPr>
      <w:tblStyleRowBandSize w:val="1"/>
      <w:tblStyleColBandSize w:val="1"/>
      <w:tblInd w:w="0" w:type="dxa"/>
      <w:tblBorders>
        <w:top w:val="single" w:color="000000" w:sz="4" w:space="0" w:themeColor="accent4" w:themeTint="9A"/>
        <w:bottom w:val="single" w:color="000000" w:sz="4" w:space="0" w:themeColor="accent4" w:themeTint="9A"/>
      </w:tblBorders>
    </w:tblPr>
    <w:tblStylePr w:type="band1Horz">
      <w:rPr>
        <w:rFonts w:ascii="Arial" w:hAnsi="Arial"/>
        <w:color w:val="404040" w:themeColor="accent4" w:themeTint="9A" w:themeShade="95"/>
        <w:sz w:val="22"/>
      </w:rPr>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sz="4" w:space="0" w:themeColor="accent4" w:themeTint="9A"/>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sz="4" w:space="0" w:themeColor="accent4" w:themeTint="9A"/>
        </w:tcBorders>
      </w:tcPr>
    </w:tblStylePr>
  </w:style>
  <w:style w:type="table" w:styleId="142">
    <w:name w:val="List Table 6 Colorful - Accent 5"/>
    <w:basedOn w:val="807"/>
    <w:uiPriority w:val="99"/>
    <w:pPr>
      <w:spacing w:lineRule="auto" w:line="240" w:after="0"/>
    </w:pPr>
    <w:tblPr>
      <w:tblStyleRowBandSize w:val="1"/>
      <w:tblStyleColBandSize w:val="1"/>
      <w:tblInd w:w="0" w:type="dxa"/>
      <w:tblBorders>
        <w:top w:val="single" w:color="000000" w:sz="4" w:space="0" w:themeColor="accent5" w:themeTint="9A"/>
        <w:bottom w:val="single" w:color="000000" w:sz="4" w:space="0" w:themeColor="accent5" w:themeTint="9A"/>
      </w:tblBorders>
    </w:tblPr>
    <w:tblStylePr w:type="band1Horz">
      <w:rPr>
        <w:rFonts w:ascii="Arial" w:hAnsi="Arial"/>
        <w:color w:val="404040" w:themeColor="accent5" w:themeTint="9A" w:themeShade="95"/>
        <w:sz w:val="22"/>
      </w:rPr>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sz="4" w:space="0" w:themeColor="accent5" w:themeTint="9A"/>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sz="4" w:space="0" w:themeColor="accent5" w:themeTint="9A"/>
        </w:tcBorders>
      </w:tcPr>
    </w:tblStylePr>
  </w:style>
  <w:style w:type="table" w:styleId="143">
    <w:name w:val="List Table 6 Colorful - Accent 6"/>
    <w:basedOn w:val="807"/>
    <w:uiPriority w:val="99"/>
    <w:pPr>
      <w:spacing w:lineRule="auto" w:line="240" w:after="0"/>
    </w:pPr>
    <w:tblPr>
      <w:tblStyleRowBandSize w:val="1"/>
      <w:tblStyleColBandSize w:val="1"/>
      <w:tblInd w:w="0" w:type="dxa"/>
      <w:tblBorders>
        <w:top w:val="single" w:color="000000" w:sz="4" w:space="0" w:themeColor="accent6" w:themeTint="98"/>
        <w:bottom w:val="single" w:color="000000" w:sz="4" w:space="0" w:themeColor="accent6" w:themeTint="98"/>
      </w:tblBorders>
    </w:tblPr>
    <w:tblStylePr w:type="band1Horz">
      <w:rPr>
        <w:rFonts w:ascii="Arial" w:hAnsi="Arial"/>
        <w:color w:val="404040" w:themeColor="accent6" w:themeTint="98" w:themeShade="95"/>
        <w:sz w:val="22"/>
      </w:rPr>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sz="4" w:space="0" w:themeColor="accent6" w:themeTint="98"/>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sz="4" w:space="0" w:themeColor="accent6" w:themeTint="98"/>
        </w:tcBorders>
      </w:tcPr>
    </w:tblStylePr>
  </w:style>
  <w:style w:type="table" w:styleId="144">
    <w:name w:val="List Table 7 Colorful"/>
    <w:basedOn w:val="807"/>
    <w:uiPriority w:val="99"/>
    <w:pPr>
      <w:spacing w:lineRule="auto" w:line="240" w:after="0"/>
    </w:pPr>
    <w:tblPr>
      <w:tblStyleRowBandSize w:val="1"/>
      <w:tblStyleColBandSize w:val="1"/>
      <w:tblInd w:w="0" w:type="dxa"/>
      <w:tblBorders>
        <w:right w:val="single" w:color="000000" w:sz="4" w:space="0" w:themeColor="text1" w:themeTint="80"/>
      </w:tblBorders>
    </w:tblPr>
    <w:tblStylePr w:type="band1Horz">
      <w:rPr>
        <w:rFonts w:ascii="Arial" w:hAnsi="Arial"/>
        <w:color w:val="4A4A4A" w:themeColor="text1" w:themeTint="80" w:themeShade="95"/>
        <w:sz w:val="22"/>
      </w:rPr>
      <w:tcPr>
        <w:shd w:val="clear" w:color="FFFFFF" w:themeFill="text1" w:themeFillTint="40" w:themeColor="text1" w:themeTint="40"/>
      </w:tcPr>
    </w:tblStylePr>
    <w:tblStylePr w:type="band1Vert">
      <w:tcPr>
        <w:shd w:val="clear" w:color="FFFFFF" w:themeFill="text1" w:themeFillTint="40" w:themeColor="text1" w:theme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left w:val="none"/>
          <w:top w:val="none"/>
          <w:right w:val="single" w:color="000000" w:sz="4" w:space="0" w:themeColor="text1" w:themeTint="80"/>
          <w:bottom w:val="none"/>
        </w:tcBorders>
      </w:tcPr>
    </w:tblStylePr>
    <w:tblStylePr w:type="firstRow">
      <w:rPr>
        <w:rFonts w:ascii="Arial" w:hAnsi="Arial"/>
        <w:i/>
        <w:color w:val="4A4A4A" w:themeColor="text1" w:themeTint="80" w:themeShade="95"/>
        <w:sz w:val="22"/>
      </w:rPr>
      <w:tcPr>
        <w:shd w:val="clear" w:color="FFFFFF" w:themeFill="light1" w:themeColor="light1"/>
        <w:tcBorders>
          <w:left w:val="none"/>
          <w:top w:val="none"/>
          <w:right w:val="none"/>
          <w:bottom w:val="single" w:color="000000" w:sz="4" w:space="0" w:themeColor="text1" w:themeTint="80"/>
        </w:tcBorders>
      </w:tcPr>
    </w:tblStylePr>
    <w:tblStylePr w:type="lastCol">
      <w:rPr>
        <w:rFonts w:ascii="Arial" w:hAnsi="Arial"/>
        <w:i/>
        <w:color w:val="4A4A4A" w:themeColor="text1" w:themeTint="80" w:themeShade="95"/>
        <w:sz w:val="22"/>
      </w:rPr>
      <w:tcPr>
        <w:shd w:color="FFFFFF"/>
        <w:tcBorders>
          <w:left w:val="single" w:color="000000" w:sz="4" w:space="0" w:themeColor="text1" w:themeTint="80"/>
          <w:top w:val="none"/>
          <w:right w:val="none"/>
          <w:bottom w:val="none"/>
        </w:tcBorders>
      </w:tcPr>
    </w:tblStylePr>
    <w:tblStylePr w:type="lastRow">
      <w:rPr>
        <w:rFonts w:ascii="Arial" w:hAnsi="Arial"/>
        <w:i/>
        <w:color w:val="4A4A4A" w:themeColor="text1" w:themeTint="80" w:themeShade="95"/>
        <w:sz w:val="22"/>
      </w:rPr>
      <w:tcPr>
        <w:shd w:val="clear" w:color="FFFFFF" w:themeFill="light1" w:themeColor="light1"/>
        <w:tcBorders>
          <w:left w:val="none"/>
          <w:top w:val="single" w:color="000000" w:sz="4" w:space="0" w:themeColor="text1" w:themeTint="80"/>
          <w:right w:val="none"/>
          <w:bottom w:val="none"/>
        </w:tcBorders>
      </w:tcPr>
    </w:tblStylePr>
    <w:tblStylePr w:type="wholeTable">
      <w:rPr>
        <w:rFonts w:ascii="Arial" w:hAnsi="Arial"/>
        <w:color w:val="4A4A4A" w:themeColor="text1" w:themeTint="80" w:themeShade="95"/>
        <w:sz w:val="22"/>
      </w:rPr>
    </w:tblStylePr>
  </w:style>
  <w:style w:type="table" w:styleId="145">
    <w:name w:val="List Table 7 Colorful - Accent 1"/>
    <w:basedOn w:val="807"/>
    <w:uiPriority w:val="99"/>
    <w:pPr>
      <w:spacing w:lineRule="auto" w:line="240" w:after="0"/>
    </w:pPr>
    <w:tblPr>
      <w:tblStyleRowBandSize w:val="1"/>
      <w:tblStyleColBandSize w:val="1"/>
      <w:tblInd w:w="0" w:type="dxa"/>
      <w:tblBorders>
        <w:right w:val="single" w:color="000000" w:sz="4" w:space="0" w:themeColor="accent1"/>
      </w:tblBorders>
    </w:tblPr>
    <w:tblStylePr w:type="band1Horz">
      <w:rPr>
        <w:rFonts w:ascii="Arial" w:hAnsi="Arial"/>
        <w:color w:val="2A4B71" w:themeColor="accent1" w:themeShade="95"/>
        <w:sz w:val="22"/>
      </w:rPr>
      <w:tcPr>
        <w:shd w:val="clear" w:color="FFFFFF" w:themeFill="accent1" w:themeFillTint="40" w:themeColor="accent1" w:themeTint="40"/>
      </w:tcPr>
    </w:tblStylePr>
    <w:tblStylePr w:type="band1Vert">
      <w:tcPr>
        <w:shd w:val="clear" w:color="FFFFFF" w:themeFill="accent1" w:themeFillTint="40" w:themeColor="accent1" w:theme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left w:val="none"/>
          <w:top w:val="none"/>
          <w:right w:val="single" w:color="000000" w:sz="4" w:space="0" w:themeColor="accent1"/>
          <w:bottom w:val="none"/>
        </w:tcBorders>
      </w:tcPr>
    </w:tblStylePr>
    <w:tblStylePr w:type="firstRow">
      <w:rPr>
        <w:rFonts w:ascii="Arial" w:hAnsi="Arial"/>
        <w:i/>
        <w:color w:val="2A4B71" w:themeColor="accent1" w:themeShade="95"/>
        <w:sz w:val="22"/>
      </w:rPr>
      <w:tcPr>
        <w:shd w:val="clear" w:color="FFFFFF" w:themeFill="light1" w:themeColor="light1"/>
        <w:tcBorders>
          <w:left w:val="none"/>
          <w:top w:val="none"/>
          <w:right w:val="none"/>
          <w:bottom w:val="single" w:color="000000" w:sz="4" w:space="0" w:themeColor="accent1"/>
        </w:tcBorders>
      </w:tcPr>
    </w:tblStylePr>
    <w:tblStylePr w:type="lastCol">
      <w:rPr>
        <w:rFonts w:ascii="Arial" w:hAnsi="Arial"/>
        <w:i/>
        <w:color w:val="2A4B71" w:themeColor="accent1" w:themeShade="95"/>
        <w:sz w:val="22"/>
      </w:rPr>
      <w:tcPr>
        <w:shd w:color="FFFFFF"/>
        <w:tcBorders>
          <w:left w:val="single" w:color="000000" w:sz="4" w:space="0" w:themeColor="accent1"/>
          <w:top w:val="none"/>
          <w:right w:val="none"/>
          <w:bottom w:val="none"/>
        </w:tcBorders>
      </w:tcPr>
    </w:tblStylePr>
    <w:tblStylePr w:type="lastRow">
      <w:rPr>
        <w:rFonts w:ascii="Arial" w:hAnsi="Arial"/>
        <w:i/>
        <w:color w:val="2A4B71" w:themeColor="accent1" w:themeShade="95"/>
        <w:sz w:val="22"/>
      </w:rPr>
      <w:tcPr>
        <w:shd w:val="clear" w:color="FFFFFF" w:themeFill="light1" w:themeColor="light1"/>
        <w:tcBorders>
          <w:left w:val="none"/>
          <w:top w:val="single" w:color="000000" w:sz="4" w:space="0" w:themeColor="accent1"/>
          <w:right w:val="none"/>
          <w:bottom w:val="none"/>
        </w:tcBorders>
      </w:tcPr>
    </w:tblStylePr>
    <w:tblStylePr w:type="wholeTable">
      <w:rPr>
        <w:rFonts w:ascii="Arial" w:hAnsi="Arial"/>
        <w:color w:val="2A4B71" w:themeColor="accent1" w:themeShade="95"/>
        <w:sz w:val="22"/>
      </w:rPr>
    </w:tblStylePr>
  </w:style>
  <w:style w:type="table" w:styleId="146">
    <w:name w:val="List Table 7 Colorful - Accent 2"/>
    <w:basedOn w:val="807"/>
    <w:uiPriority w:val="99"/>
    <w:pPr>
      <w:spacing w:lineRule="auto" w:line="240" w:after="0"/>
    </w:pPr>
    <w:tblPr>
      <w:tblStyleRowBandSize w:val="1"/>
      <w:tblStyleColBandSize w:val="1"/>
      <w:tblInd w:w="0" w:type="dxa"/>
      <w:tblBorders>
        <w:right w:val="single" w:color="000000" w:sz="4" w:space="0" w:themeColor="accent2" w:themeTint="97"/>
      </w:tblBorders>
    </w:tblPr>
    <w:tblStylePr w:type="band1Horz">
      <w:rPr>
        <w:rFonts w:ascii="Arial" w:hAnsi="Arial"/>
        <w:color w:val="9C3A37" w:themeColor="accent2" w:themeTint="97" w:themeShade="95"/>
        <w:sz w:val="22"/>
      </w:rPr>
      <w:tcPr>
        <w:shd w:val="clear" w:color="FFFFFF" w:themeFill="accent2" w:themeFillTint="40" w:themeColor="accent2" w:themeTint="40"/>
      </w:tcPr>
    </w:tblStylePr>
    <w:tblStylePr w:type="band1Vert">
      <w:tcPr>
        <w:shd w:val="clear" w:color="FFFFFF" w:themeFill="accent2" w:themeFillTint="40" w:themeColor="accent2" w:theme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left w:val="none"/>
          <w:top w:val="none"/>
          <w:right w:val="single" w:color="000000" w:sz="4" w:space="0" w:themeColor="accent2" w:themeTint="97"/>
          <w:bottom w:val="none"/>
        </w:tcBorders>
      </w:tcPr>
    </w:tblStylePr>
    <w:tblStylePr w:type="firstRow">
      <w:rPr>
        <w:rFonts w:ascii="Arial" w:hAnsi="Arial"/>
        <w:i/>
        <w:color w:val="9C3A37" w:themeColor="accent2" w:themeTint="97" w:themeShade="95"/>
        <w:sz w:val="22"/>
      </w:rPr>
      <w:tcPr>
        <w:shd w:val="clear" w:color="FFFFFF" w:themeFill="light1" w:themeColor="light1"/>
        <w:tcBorders>
          <w:left w:val="none"/>
          <w:top w:val="none"/>
          <w:right w:val="none"/>
          <w:bottom w:val="single" w:color="000000" w:sz="4" w:space="0" w:themeColor="accent2" w:themeTint="97"/>
        </w:tcBorders>
      </w:tcPr>
    </w:tblStylePr>
    <w:tblStylePr w:type="lastCol">
      <w:rPr>
        <w:rFonts w:ascii="Arial" w:hAnsi="Arial"/>
        <w:i/>
        <w:color w:val="9C3A37" w:themeColor="accent2" w:themeTint="97" w:themeShade="95"/>
        <w:sz w:val="22"/>
      </w:rPr>
      <w:tcPr>
        <w:shd w:color="FFFFFF"/>
        <w:tcBorders>
          <w:left w:val="single" w:color="000000" w:sz="4" w:space="0" w:themeColor="accent2" w:themeTint="97"/>
          <w:top w:val="none"/>
          <w:right w:val="none"/>
          <w:bottom w:val="none"/>
        </w:tcBorders>
      </w:tcPr>
    </w:tblStylePr>
    <w:tblStylePr w:type="lastRow">
      <w:rPr>
        <w:rFonts w:ascii="Arial" w:hAnsi="Arial"/>
        <w:i/>
        <w:color w:val="9C3A37" w:themeColor="accent2" w:themeTint="97" w:themeShade="95"/>
        <w:sz w:val="22"/>
      </w:rPr>
      <w:tcPr>
        <w:shd w:val="clear" w:color="FFFFFF" w:themeFill="light1" w:themeColor="light1"/>
        <w:tcBorders>
          <w:left w:val="none"/>
          <w:top w:val="single" w:color="000000" w:sz="4" w:space="0" w:themeColor="accent2" w:themeTint="97"/>
          <w:right w:val="none"/>
          <w:bottom w:val="none"/>
        </w:tcBorders>
      </w:tcPr>
    </w:tblStylePr>
    <w:tblStylePr w:type="wholeTable">
      <w:rPr>
        <w:rFonts w:ascii="Arial" w:hAnsi="Arial"/>
        <w:color w:val="9C3A37" w:themeColor="accent2" w:themeTint="97" w:themeShade="95"/>
        <w:sz w:val="22"/>
      </w:rPr>
    </w:tblStylePr>
  </w:style>
  <w:style w:type="table" w:styleId="147">
    <w:name w:val="List Table 7 Colorful - Accent 3"/>
    <w:basedOn w:val="807"/>
    <w:uiPriority w:val="99"/>
    <w:pPr>
      <w:spacing w:lineRule="auto" w:line="240" w:after="0"/>
    </w:pPr>
    <w:tblPr>
      <w:tblStyleRowBandSize w:val="1"/>
      <w:tblStyleColBandSize w:val="1"/>
      <w:tblInd w:w="0" w:type="dxa"/>
      <w:tblBorders>
        <w:right w:val="single" w:color="000000" w:sz="4" w:space="0" w:themeColor="accent3" w:themeTint="98"/>
      </w:tblBorders>
    </w:tblPr>
    <w:tblStylePr w:type="band1Horz">
      <w:rPr>
        <w:rFonts w:ascii="Arial" w:hAnsi="Arial"/>
        <w:color w:val="7C983F" w:themeColor="accent3" w:themeTint="98" w:themeShade="95"/>
        <w:sz w:val="22"/>
      </w:rPr>
      <w:tcPr>
        <w:shd w:val="clear" w:color="FFFFFF" w:themeFill="accent3" w:themeFillTint="40" w:themeColor="accent3" w:themeTint="40"/>
      </w:tcPr>
    </w:tblStylePr>
    <w:tblStylePr w:type="band1Vert">
      <w:tcPr>
        <w:shd w:val="clear" w:color="FFFFFF" w:themeFill="accent3" w:themeFillTint="40" w:themeColor="accent3" w:theme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left w:val="none"/>
          <w:top w:val="none"/>
          <w:right w:val="single" w:color="000000" w:sz="4" w:space="0" w:themeColor="accent3" w:themeTint="98"/>
          <w:bottom w:val="none"/>
        </w:tcBorders>
      </w:tcPr>
    </w:tblStylePr>
    <w:tblStylePr w:type="firstRow">
      <w:rPr>
        <w:rFonts w:ascii="Arial" w:hAnsi="Arial"/>
        <w:i/>
        <w:color w:val="7C983F" w:themeColor="accent3" w:themeTint="98" w:themeShade="95"/>
        <w:sz w:val="22"/>
      </w:rPr>
      <w:tcPr>
        <w:shd w:val="clear" w:color="FFFFFF" w:themeFill="light1" w:themeColor="light1"/>
        <w:tcBorders>
          <w:left w:val="none"/>
          <w:top w:val="none"/>
          <w:right w:val="none"/>
          <w:bottom w:val="single" w:color="000000" w:sz="4" w:space="0" w:themeColor="accent3" w:themeTint="98"/>
        </w:tcBorders>
      </w:tcPr>
    </w:tblStylePr>
    <w:tblStylePr w:type="lastCol">
      <w:rPr>
        <w:rFonts w:ascii="Arial" w:hAnsi="Arial"/>
        <w:i/>
        <w:color w:val="7C983F" w:themeColor="accent3" w:themeTint="98" w:themeShade="95"/>
        <w:sz w:val="22"/>
      </w:rPr>
      <w:tcPr>
        <w:shd w:color="FFFFFF"/>
        <w:tcBorders>
          <w:left w:val="single" w:color="000000" w:sz="4" w:space="0" w:themeColor="accent3" w:themeTint="98"/>
          <w:top w:val="none"/>
          <w:right w:val="none"/>
          <w:bottom w:val="none"/>
        </w:tcBorders>
      </w:tcPr>
    </w:tblStylePr>
    <w:tblStylePr w:type="lastRow">
      <w:rPr>
        <w:rFonts w:ascii="Arial" w:hAnsi="Arial"/>
        <w:i/>
        <w:color w:val="7C983F" w:themeColor="accent3" w:themeTint="98" w:themeShade="95"/>
        <w:sz w:val="22"/>
      </w:rPr>
      <w:tcPr>
        <w:shd w:val="clear" w:color="FFFFFF" w:themeFill="light1" w:themeColor="light1"/>
        <w:tcBorders>
          <w:left w:val="none"/>
          <w:top w:val="single" w:color="000000" w:sz="4" w:space="0" w:themeColor="accent3" w:themeTint="98"/>
          <w:right w:val="none"/>
          <w:bottom w:val="none"/>
        </w:tcBorders>
      </w:tcPr>
    </w:tblStylePr>
    <w:tblStylePr w:type="wholeTable">
      <w:rPr>
        <w:rFonts w:ascii="Arial" w:hAnsi="Arial"/>
        <w:color w:val="7C983F" w:themeColor="accent3" w:themeTint="98" w:themeShade="95"/>
        <w:sz w:val="22"/>
      </w:rPr>
    </w:tblStylePr>
  </w:style>
  <w:style w:type="table" w:styleId="148">
    <w:name w:val="List Table 7 Colorful - Accent 4"/>
    <w:basedOn w:val="807"/>
    <w:uiPriority w:val="99"/>
    <w:pPr>
      <w:spacing w:lineRule="auto" w:line="240" w:after="0"/>
    </w:pPr>
    <w:tblPr>
      <w:tblStyleRowBandSize w:val="1"/>
      <w:tblStyleColBandSize w:val="1"/>
      <w:tblInd w:w="0" w:type="dxa"/>
      <w:tblBorders>
        <w:right w:val="single" w:color="000000" w:sz="4" w:space="0" w:themeColor="accent4" w:themeTint="9A"/>
      </w:tblBorders>
    </w:tblPr>
    <w:tblStylePr w:type="band1Horz">
      <w:rPr>
        <w:rFonts w:ascii="Arial" w:hAnsi="Arial"/>
        <w:color w:val="664F82" w:themeColor="accent4" w:themeTint="9A" w:themeShade="95"/>
        <w:sz w:val="22"/>
      </w:rPr>
      <w:tcPr>
        <w:shd w:val="clear" w:color="FFFFFF" w:themeFill="accent4" w:themeFillTint="40" w:themeColor="accent4" w:themeTint="40"/>
      </w:tcPr>
    </w:tblStylePr>
    <w:tblStylePr w:type="band1Vert">
      <w:tcPr>
        <w:shd w:val="clear" w:color="FFFFFF" w:themeFill="accent4" w:themeFillTint="40" w:themeColor="accent4" w:theme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left w:val="none"/>
          <w:top w:val="none"/>
          <w:right w:val="single" w:color="000000" w:sz="4" w:space="0" w:themeColor="accent4" w:themeTint="9A"/>
          <w:bottom w:val="none"/>
        </w:tcBorders>
      </w:tcPr>
    </w:tblStylePr>
    <w:tblStylePr w:type="firstRow">
      <w:rPr>
        <w:rFonts w:ascii="Arial" w:hAnsi="Arial"/>
        <w:i/>
        <w:color w:val="664F82" w:themeColor="accent4" w:themeTint="9A" w:themeShade="95"/>
        <w:sz w:val="22"/>
      </w:rPr>
      <w:tcPr>
        <w:shd w:val="clear" w:color="FFFFFF" w:themeFill="light1" w:themeColor="light1"/>
        <w:tcBorders>
          <w:left w:val="none"/>
          <w:top w:val="none"/>
          <w:right w:val="none"/>
          <w:bottom w:val="single" w:color="000000" w:sz="4" w:space="0" w:themeColor="accent4" w:themeTint="9A"/>
        </w:tcBorders>
      </w:tcPr>
    </w:tblStylePr>
    <w:tblStylePr w:type="lastCol">
      <w:rPr>
        <w:rFonts w:ascii="Arial" w:hAnsi="Arial"/>
        <w:i/>
        <w:color w:val="664F82" w:themeColor="accent4" w:themeTint="9A" w:themeShade="95"/>
        <w:sz w:val="22"/>
      </w:rPr>
      <w:tcPr>
        <w:shd w:color="FFFFFF"/>
        <w:tcBorders>
          <w:left w:val="single" w:color="000000" w:sz="4" w:space="0" w:themeColor="accent4" w:themeTint="9A"/>
          <w:top w:val="none"/>
          <w:right w:val="none"/>
          <w:bottom w:val="none"/>
        </w:tcBorders>
      </w:tcPr>
    </w:tblStylePr>
    <w:tblStylePr w:type="lastRow">
      <w:rPr>
        <w:rFonts w:ascii="Arial" w:hAnsi="Arial"/>
        <w:i/>
        <w:color w:val="664F82" w:themeColor="accent4" w:themeTint="9A" w:themeShade="95"/>
        <w:sz w:val="22"/>
      </w:rPr>
      <w:tcPr>
        <w:shd w:val="clear" w:color="FFFFFF" w:themeFill="light1" w:themeColor="light1"/>
        <w:tcBorders>
          <w:left w:val="none"/>
          <w:top w:val="single" w:color="000000" w:sz="4" w:space="0" w:themeColor="accent4" w:themeTint="9A"/>
          <w:right w:val="none"/>
          <w:bottom w:val="none"/>
        </w:tcBorders>
      </w:tcPr>
    </w:tblStylePr>
    <w:tblStylePr w:type="wholeTable">
      <w:rPr>
        <w:rFonts w:ascii="Arial" w:hAnsi="Arial"/>
        <w:color w:val="664F82" w:themeColor="accent4" w:themeTint="9A" w:themeShade="95"/>
        <w:sz w:val="22"/>
      </w:rPr>
    </w:tblStylePr>
  </w:style>
  <w:style w:type="table" w:styleId="149">
    <w:name w:val="List Table 7 Colorful - Accent 5"/>
    <w:basedOn w:val="807"/>
    <w:uiPriority w:val="99"/>
    <w:pPr>
      <w:spacing w:lineRule="auto" w:line="240" w:after="0"/>
    </w:pPr>
    <w:tblPr>
      <w:tblStyleRowBandSize w:val="1"/>
      <w:tblStyleColBandSize w:val="1"/>
      <w:tblInd w:w="0" w:type="dxa"/>
      <w:tblBorders>
        <w:right w:val="single" w:color="000000" w:sz="4" w:space="0" w:themeColor="accent5" w:themeTint="9A"/>
      </w:tblBorders>
    </w:tblPr>
    <w:tblStylePr w:type="band1Horz">
      <w:rPr>
        <w:rFonts w:ascii="Arial" w:hAnsi="Arial"/>
        <w:color w:val="338AA0" w:themeColor="accent5" w:themeTint="9A" w:themeShade="95"/>
        <w:sz w:val="22"/>
      </w:rPr>
      <w:tcPr>
        <w:shd w:val="clear" w:color="FFFFFF" w:themeFill="accent5" w:themeFillTint="40" w:themeColor="accent5" w:themeTint="40"/>
      </w:tcPr>
    </w:tblStylePr>
    <w:tblStylePr w:type="band1Vert">
      <w:tcPr>
        <w:shd w:val="clear" w:color="FFFFFF" w:themeFill="accent5" w:themeFillTint="40" w:themeColor="accent5" w:theme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left w:val="none"/>
          <w:top w:val="none"/>
          <w:right w:val="single" w:color="000000" w:sz="4" w:space="0" w:themeColor="accent5" w:themeTint="9A"/>
          <w:bottom w:val="none"/>
        </w:tcBorders>
      </w:tcPr>
    </w:tblStylePr>
    <w:tblStylePr w:type="firstRow">
      <w:rPr>
        <w:rFonts w:ascii="Arial" w:hAnsi="Arial"/>
        <w:i/>
        <w:color w:val="338AA0" w:themeColor="accent5" w:themeTint="9A" w:themeShade="95"/>
        <w:sz w:val="22"/>
      </w:rPr>
      <w:tcPr>
        <w:shd w:val="clear" w:color="FFFFFF" w:themeFill="light1" w:themeColor="light1"/>
        <w:tcBorders>
          <w:left w:val="none"/>
          <w:top w:val="none"/>
          <w:right w:val="none"/>
          <w:bottom w:val="single" w:color="000000" w:sz="4" w:space="0" w:themeColor="accent5" w:themeTint="9A"/>
        </w:tcBorders>
      </w:tcPr>
    </w:tblStylePr>
    <w:tblStylePr w:type="lastCol">
      <w:rPr>
        <w:rFonts w:ascii="Arial" w:hAnsi="Arial"/>
        <w:i/>
        <w:color w:val="338AA0" w:themeColor="accent5" w:themeTint="9A" w:themeShade="95"/>
        <w:sz w:val="22"/>
      </w:rPr>
      <w:tcPr>
        <w:shd w:color="FFFFFF"/>
        <w:tcBorders>
          <w:left w:val="single" w:color="000000" w:sz="4" w:space="0" w:themeColor="accent5" w:themeTint="9A"/>
          <w:top w:val="none"/>
          <w:right w:val="none"/>
          <w:bottom w:val="none"/>
        </w:tcBorders>
      </w:tcPr>
    </w:tblStylePr>
    <w:tblStylePr w:type="lastRow">
      <w:rPr>
        <w:rFonts w:ascii="Arial" w:hAnsi="Arial"/>
        <w:i/>
        <w:color w:val="338AA0" w:themeColor="accent5" w:themeTint="9A" w:themeShade="95"/>
        <w:sz w:val="22"/>
      </w:rPr>
      <w:tcPr>
        <w:shd w:val="clear" w:color="FFFFFF" w:themeFill="light1" w:themeColor="light1"/>
        <w:tcBorders>
          <w:left w:val="none"/>
          <w:top w:val="single" w:color="000000" w:sz="4" w:space="0" w:themeColor="accent5" w:themeTint="9A"/>
          <w:right w:val="none"/>
          <w:bottom w:val="none"/>
        </w:tcBorders>
      </w:tcPr>
    </w:tblStylePr>
    <w:tblStylePr w:type="wholeTable">
      <w:rPr>
        <w:rFonts w:ascii="Arial" w:hAnsi="Arial"/>
        <w:color w:val="338AA0" w:themeColor="accent5" w:themeTint="9A" w:themeShade="95"/>
        <w:sz w:val="22"/>
      </w:rPr>
    </w:tblStylePr>
  </w:style>
  <w:style w:type="table" w:styleId="150">
    <w:name w:val="List Table 7 Colorful - Accent 6"/>
    <w:basedOn w:val="807"/>
    <w:uiPriority w:val="99"/>
    <w:pPr>
      <w:spacing w:lineRule="auto" w:line="240" w:after="0"/>
    </w:pPr>
    <w:tblPr>
      <w:tblStyleRowBandSize w:val="1"/>
      <w:tblStyleColBandSize w:val="1"/>
      <w:tblInd w:w="0" w:type="dxa"/>
      <w:tblBorders>
        <w:right w:val="single" w:color="000000" w:sz="4" w:space="0" w:themeColor="accent6" w:themeTint="98"/>
      </w:tblBorders>
    </w:tblPr>
    <w:tblStylePr w:type="band1Horz">
      <w:rPr>
        <w:rFonts w:ascii="Arial" w:hAnsi="Arial"/>
        <w:color w:val="D9680C" w:themeColor="accent6" w:themeTint="98" w:themeShade="95"/>
        <w:sz w:val="22"/>
      </w:rPr>
      <w:tcPr>
        <w:shd w:val="clear" w:color="FFFFFF" w:themeFill="accent6" w:themeFillTint="40" w:themeColor="accent6" w:themeTint="40"/>
      </w:tcPr>
    </w:tblStylePr>
    <w:tblStylePr w:type="band1Vert">
      <w:tcPr>
        <w:shd w:val="clear" w:color="FFFFFF" w:themeFill="accent6" w:themeFillTint="40" w:themeColor="accent6" w:theme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left w:val="none"/>
          <w:top w:val="none"/>
          <w:right w:val="single" w:color="000000" w:sz="4" w:space="0" w:themeColor="accent6" w:themeTint="98"/>
          <w:bottom w:val="none"/>
        </w:tcBorders>
      </w:tcPr>
    </w:tblStylePr>
    <w:tblStylePr w:type="firstRow">
      <w:rPr>
        <w:rFonts w:ascii="Arial" w:hAnsi="Arial"/>
        <w:i/>
        <w:color w:val="D9680C" w:themeColor="accent6" w:themeTint="98" w:themeShade="95"/>
        <w:sz w:val="22"/>
      </w:rPr>
      <w:tcPr>
        <w:shd w:val="clear" w:color="FFFFFF" w:themeFill="light1" w:themeColor="light1"/>
        <w:tcBorders>
          <w:left w:val="none"/>
          <w:top w:val="none"/>
          <w:right w:val="none"/>
          <w:bottom w:val="single" w:color="000000" w:sz="4" w:space="0" w:themeColor="accent6" w:themeTint="98"/>
        </w:tcBorders>
      </w:tcPr>
    </w:tblStylePr>
    <w:tblStylePr w:type="lastCol">
      <w:rPr>
        <w:rFonts w:ascii="Arial" w:hAnsi="Arial"/>
        <w:i/>
        <w:color w:val="D9680C" w:themeColor="accent6" w:themeTint="98" w:themeShade="95"/>
        <w:sz w:val="22"/>
      </w:rPr>
      <w:tcPr>
        <w:shd w:color="FFFFFF"/>
        <w:tcBorders>
          <w:left w:val="single" w:color="000000" w:sz="4" w:space="0" w:themeColor="accent6" w:themeTint="98"/>
          <w:top w:val="none"/>
          <w:right w:val="none"/>
          <w:bottom w:val="none"/>
        </w:tcBorders>
      </w:tcPr>
    </w:tblStylePr>
    <w:tblStylePr w:type="lastRow">
      <w:rPr>
        <w:rFonts w:ascii="Arial" w:hAnsi="Arial"/>
        <w:i/>
        <w:color w:val="D9680C" w:themeColor="accent6" w:themeTint="98" w:themeShade="95"/>
        <w:sz w:val="22"/>
      </w:rPr>
      <w:tcPr>
        <w:shd w:val="clear" w:color="FFFFFF" w:themeFill="light1" w:themeColor="light1"/>
        <w:tcBorders>
          <w:left w:val="none"/>
          <w:top w:val="single" w:color="000000" w:sz="4" w:space="0" w:themeColor="accent6" w:themeTint="98"/>
          <w:right w:val="none"/>
          <w:bottom w:val="none"/>
        </w:tcBorders>
      </w:tcPr>
    </w:tblStylePr>
    <w:tblStylePr w:type="wholeTable">
      <w:rPr>
        <w:rFonts w:ascii="Arial" w:hAnsi="Arial"/>
        <w:color w:val="D9680C" w:themeColor="accent6" w:themeTint="98" w:themeShade="95"/>
        <w:sz w:val="22"/>
      </w:rPr>
    </w:tblStylePr>
  </w:style>
  <w:style w:type="table" w:styleId="151">
    <w:name w:val="Lined - Accent"/>
    <w:basedOn w:val="80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text1" w:themeFillTint="0D" w:themeColor="text1" w:themeTint="0D"/>
      </w:tcPr>
    </w:tblStylePr>
    <w:tblStylePr w:type="band2Vert">
      <w:rPr>
        <w:rFonts w:ascii="Arial" w:hAnsi="Arial"/>
        <w:color w:val="404040"/>
        <w:sz w:val="22"/>
      </w:rPr>
      <w:tcPr>
        <w:shd w:val="clear" w:color="FFFFFF" w:themeFill="text1" w:themeFillTint="0D" w:themeColor="text1" w:themeTint="0D"/>
      </w:tcPr>
    </w:tblStylePr>
    <w:tblStylePr w:type="firstCol">
      <w:rPr>
        <w:rFonts w:ascii="Arial" w:hAnsi="Arial"/>
        <w:color w:val="F2F2F2"/>
        <w:sz w:val="22"/>
      </w:rPr>
      <w:tcPr>
        <w:shd w:val="clear" w:color="FFFFFF" w:themeFill="text1" w:themeFillTint="80" w:themeColor="text1" w:themeTint="80"/>
      </w:tcPr>
    </w:tblStylePr>
    <w:tblStylePr w:type="firstRow">
      <w:rPr>
        <w:rFonts w:ascii="Arial" w:hAnsi="Arial"/>
        <w:color w:val="F2F2F2"/>
        <w:sz w:val="22"/>
      </w:rPr>
      <w:tcPr>
        <w:shd w:val="clear" w:color="FFFFFF" w:themeFill="text1" w:themeFillTint="80" w:themeColor="text1" w:themeTint="80"/>
      </w:tcPr>
    </w:tblStylePr>
    <w:tblStylePr w:type="lastCol">
      <w:rPr>
        <w:rFonts w:ascii="Arial" w:hAnsi="Arial"/>
        <w:color w:val="F2F2F2"/>
        <w:sz w:val="22"/>
      </w:rPr>
      <w:tcPr>
        <w:shd w:val="clear" w:color="FFFFFF" w:themeFill="text1" w:themeFillTint="80" w:themeColor="text1" w:themeTint="80"/>
      </w:tcPr>
    </w:tblStylePr>
    <w:tblStylePr w:type="lastRow">
      <w:rPr>
        <w:rFonts w:ascii="Arial" w:hAnsi="Arial"/>
        <w:color w:val="F2F2F2"/>
        <w:sz w:val="22"/>
      </w:rPr>
      <w:tcPr>
        <w:shd w:val="clear" w:color="FFFFFF" w:themeFill="text1" w:themeFillTint="80" w:themeColor="text1" w:themeTint="80"/>
      </w:tcPr>
    </w:tblStylePr>
  </w:style>
  <w:style w:type="table" w:styleId="152">
    <w:name w:val="Lined - Accent 1"/>
    <w:basedOn w:val="80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1" w:themeFillTint="50" w:themeColor="accent1" w:themeTint="50"/>
      </w:tcPr>
    </w:tblStylePr>
    <w:tblStylePr w:type="band2Vert">
      <w:rPr>
        <w:rFonts w:ascii="Arial" w:hAnsi="Arial"/>
        <w:color w:val="404040"/>
        <w:sz w:val="22"/>
      </w:rPr>
      <w:tcPr>
        <w:shd w:val="clear" w:color="FFFFFF" w:themeFill="accent1" w:themeFillTint="50" w:themeColor="accent1" w:themeTint="50"/>
      </w:tcPr>
    </w:tblStylePr>
    <w:tblStylePr w:type="firstCol">
      <w:rPr>
        <w:rFonts w:ascii="Arial" w:hAnsi="Arial"/>
        <w:color w:val="F2F2F2"/>
        <w:sz w:val="22"/>
      </w:rPr>
      <w:tcPr>
        <w:shd w:val="clear" w:color="FFFFFF" w:themeFill="accent1" w:themeFillTint="EA" w:themeColor="accent1" w:themeTint="EA"/>
      </w:tcPr>
    </w:tblStylePr>
    <w:tblStylePr w:type="firstRow">
      <w:rPr>
        <w:rFonts w:ascii="Arial" w:hAnsi="Arial"/>
        <w:color w:val="F2F2F2"/>
        <w:sz w:val="22"/>
      </w:rPr>
      <w:tcPr>
        <w:shd w:val="clear" w:color="FFFFFF" w:themeFill="accent1" w:themeFillTint="EA" w:themeColor="accent1" w:themeTint="EA"/>
      </w:tcPr>
    </w:tblStylePr>
    <w:tblStylePr w:type="lastCol">
      <w:rPr>
        <w:rFonts w:ascii="Arial" w:hAnsi="Arial"/>
        <w:color w:val="F2F2F2"/>
        <w:sz w:val="22"/>
      </w:rPr>
      <w:tcPr>
        <w:shd w:val="clear" w:color="FFFFFF" w:themeFill="accent1" w:themeFillTint="EA" w:themeColor="accent1" w:themeTint="EA"/>
      </w:tcPr>
    </w:tblStylePr>
    <w:tblStylePr w:type="lastRow">
      <w:rPr>
        <w:rFonts w:ascii="Arial" w:hAnsi="Arial"/>
        <w:color w:val="F2F2F2"/>
        <w:sz w:val="22"/>
      </w:rPr>
      <w:tcPr>
        <w:shd w:val="clear" w:color="FFFFFF" w:themeFill="accent1" w:themeFillTint="EA" w:themeColor="accent1" w:themeTint="EA"/>
      </w:tcPr>
    </w:tblStylePr>
  </w:style>
  <w:style w:type="table" w:styleId="153">
    <w:name w:val="Lined - Accent 2"/>
    <w:basedOn w:val="80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2" w:themeFillTint="32" w:themeColor="accent2" w:themeTint="32"/>
      </w:tcPr>
    </w:tblStylePr>
    <w:tblStylePr w:type="band2Vert">
      <w:rPr>
        <w:rFonts w:ascii="Arial" w:hAnsi="Arial"/>
        <w:color w:val="404040"/>
        <w:sz w:val="22"/>
      </w:rPr>
      <w:tcPr>
        <w:shd w:val="clear" w:color="FFFFFF" w:themeFill="accent2" w:themeFillTint="32" w:themeColor="accent2" w:themeTint="32"/>
      </w:tcPr>
    </w:tblStylePr>
    <w:tblStylePr w:type="firstCol">
      <w:rPr>
        <w:rFonts w:ascii="Arial" w:hAnsi="Arial"/>
        <w:color w:val="F2F2F2"/>
        <w:sz w:val="22"/>
      </w:rPr>
      <w:tcPr>
        <w:shd w:val="clear" w:color="FFFFFF" w:themeFill="accent2" w:themeFillTint="97" w:themeColor="accent2" w:themeTint="97"/>
      </w:tcPr>
    </w:tblStylePr>
    <w:tblStylePr w:type="firstRow">
      <w:rPr>
        <w:rFonts w:ascii="Arial" w:hAnsi="Arial"/>
        <w:color w:val="F2F2F2"/>
        <w:sz w:val="22"/>
      </w:rPr>
      <w:tcPr>
        <w:shd w:val="clear" w:color="FFFFFF" w:themeFill="accent2" w:themeFillTint="97" w:themeColor="accent2" w:themeTint="97"/>
      </w:tcPr>
    </w:tblStylePr>
    <w:tblStylePr w:type="lastCol">
      <w:rPr>
        <w:rFonts w:ascii="Arial" w:hAnsi="Arial"/>
        <w:color w:val="F2F2F2"/>
        <w:sz w:val="22"/>
      </w:rPr>
      <w:tcPr>
        <w:shd w:val="clear" w:color="FFFFFF" w:themeFill="accent2" w:themeFillTint="97" w:themeColor="accent2" w:themeTint="97"/>
      </w:tcPr>
    </w:tblStylePr>
    <w:tblStylePr w:type="lastRow">
      <w:rPr>
        <w:rFonts w:ascii="Arial" w:hAnsi="Arial"/>
        <w:color w:val="F2F2F2"/>
        <w:sz w:val="22"/>
      </w:rPr>
      <w:tcPr>
        <w:shd w:val="clear" w:color="FFFFFF" w:themeFill="accent2" w:themeFillTint="97" w:themeColor="accent2" w:themeTint="97"/>
      </w:tcPr>
    </w:tblStylePr>
  </w:style>
  <w:style w:type="table" w:styleId="154">
    <w:name w:val="Lined - Accent 3"/>
    <w:basedOn w:val="80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3" w:themeFillTint="34" w:themeColor="accent3" w:themeTint="34"/>
      </w:tcPr>
    </w:tblStylePr>
    <w:tblStylePr w:type="band2Vert">
      <w:rPr>
        <w:rFonts w:ascii="Arial" w:hAnsi="Arial"/>
        <w:color w:val="404040"/>
        <w:sz w:val="22"/>
      </w:rPr>
      <w:tcPr>
        <w:shd w:val="clear" w:color="FFFFFF" w:themeFill="accent3" w:themeFillTint="34" w:themeColor="accent3" w:themeTint="34"/>
      </w:tcPr>
    </w:tblStylePr>
    <w:tblStylePr w:type="firstCol">
      <w:rPr>
        <w:rFonts w:ascii="Arial" w:hAnsi="Arial"/>
        <w:color w:val="F2F2F2"/>
        <w:sz w:val="22"/>
      </w:rPr>
      <w:tcPr>
        <w:shd w:val="clear" w:color="FFFFFF" w:themeFill="accent3" w:themeFillTint="FE" w:themeColor="accent3" w:themeTint="FE"/>
      </w:tcPr>
    </w:tblStylePr>
    <w:tblStylePr w:type="firstRow">
      <w:rPr>
        <w:rFonts w:ascii="Arial" w:hAnsi="Arial"/>
        <w:color w:val="F2F2F2"/>
        <w:sz w:val="22"/>
      </w:rPr>
      <w:tcPr>
        <w:shd w:val="clear" w:color="FFFFFF" w:themeFill="accent3" w:themeFillTint="FE" w:themeColor="accent3" w:themeTint="FE"/>
      </w:tcPr>
    </w:tblStylePr>
    <w:tblStylePr w:type="lastCol">
      <w:rPr>
        <w:rFonts w:ascii="Arial" w:hAnsi="Arial"/>
        <w:color w:val="F2F2F2"/>
        <w:sz w:val="22"/>
      </w:rPr>
      <w:tcPr>
        <w:shd w:val="clear" w:color="FFFFFF" w:themeFill="accent3" w:themeFillTint="FE" w:themeColor="accent3" w:themeTint="FE"/>
      </w:tcPr>
    </w:tblStylePr>
    <w:tblStylePr w:type="lastRow">
      <w:rPr>
        <w:rFonts w:ascii="Arial" w:hAnsi="Arial"/>
        <w:color w:val="F2F2F2"/>
        <w:sz w:val="22"/>
      </w:rPr>
      <w:tcPr>
        <w:shd w:val="clear" w:color="FFFFFF" w:themeFill="accent3" w:themeFillTint="FE" w:themeColor="accent3" w:themeTint="FE"/>
      </w:tcPr>
    </w:tblStylePr>
  </w:style>
  <w:style w:type="table" w:styleId="155">
    <w:name w:val="Lined - Accent 4"/>
    <w:basedOn w:val="80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4" w:themeFillTint="34" w:themeColor="accent4" w:themeTint="34"/>
      </w:tcPr>
    </w:tblStylePr>
    <w:tblStylePr w:type="band2Vert">
      <w:rPr>
        <w:rFonts w:ascii="Arial" w:hAnsi="Arial"/>
        <w:color w:val="404040"/>
        <w:sz w:val="22"/>
      </w:rPr>
      <w:tcPr>
        <w:shd w:val="clear" w:color="FFFFFF" w:themeFill="accent4" w:themeFillTint="34" w:themeColor="accent4" w:themeTint="34"/>
      </w:tcPr>
    </w:tblStylePr>
    <w:tblStylePr w:type="firstCol">
      <w:rPr>
        <w:rFonts w:ascii="Arial" w:hAnsi="Arial"/>
        <w:color w:val="F2F2F2"/>
        <w:sz w:val="22"/>
      </w:rPr>
      <w:tcPr>
        <w:shd w:val="clear" w:color="FFFFFF" w:themeFill="accent4" w:themeFillTint="9A" w:themeColor="accent4" w:themeTint="9A"/>
      </w:tcPr>
    </w:tblStylePr>
    <w:tblStylePr w:type="firstRow">
      <w:rPr>
        <w:rFonts w:ascii="Arial" w:hAnsi="Arial"/>
        <w:color w:val="F2F2F2"/>
        <w:sz w:val="22"/>
      </w:rPr>
      <w:tcPr>
        <w:shd w:val="clear" w:color="FFFFFF" w:themeFill="accent4" w:themeFillTint="9A" w:themeColor="accent4" w:themeTint="9A"/>
      </w:tcPr>
    </w:tblStylePr>
    <w:tblStylePr w:type="lastCol">
      <w:rPr>
        <w:rFonts w:ascii="Arial" w:hAnsi="Arial"/>
        <w:color w:val="F2F2F2"/>
        <w:sz w:val="22"/>
      </w:rPr>
      <w:tcPr>
        <w:shd w:val="clear" w:color="FFFFFF" w:themeFill="accent4" w:themeFillTint="9A" w:themeColor="accent4" w:themeTint="9A"/>
      </w:tcPr>
    </w:tblStylePr>
    <w:tblStylePr w:type="lastRow">
      <w:rPr>
        <w:rFonts w:ascii="Arial" w:hAnsi="Arial"/>
        <w:color w:val="F2F2F2"/>
        <w:sz w:val="22"/>
      </w:rPr>
      <w:tcPr>
        <w:shd w:val="clear" w:color="FFFFFF" w:themeFill="accent4" w:themeFillTint="9A" w:themeColor="accent4" w:themeTint="9A"/>
      </w:tcPr>
    </w:tblStylePr>
  </w:style>
  <w:style w:type="table" w:styleId="156">
    <w:name w:val="Lined - Accent 5"/>
    <w:basedOn w:val="80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5" w:themeFillTint="34" w:themeColor="accent5" w:themeTint="34"/>
      </w:tcPr>
    </w:tblStylePr>
    <w:tblStylePr w:type="band2Vert">
      <w:rPr>
        <w:rFonts w:ascii="Arial" w:hAnsi="Arial"/>
        <w:color w:val="404040"/>
        <w:sz w:val="22"/>
      </w:rPr>
      <w:tcPr>
        <w:shd w:val="clear" w:color="FFFFFF" w:themeFill="accent5" w:themeFillTint="34" w:themeColor="accent5" w:themeTint="34"/>
      </w:tcPr>
    </w:tblStylePr>
    <w:tblStylePr w:type="firstCol">
      <w:rPr>
        <w:rFonts w:ascii="Arial" w:hAnsi="Arial"/>
        <w:color w:val="F2F2F2"/>
        <w:sz w:val="22"/>
      </w:rPr>
      <w:tcPr>
        <w:shd w:val="clear" w:color="FFFFFF" w:themeFill="accent5" w:themeColor="accent5"/>
      </w:tcPr>
    </w:tblStylePr>
    <w:tblStylePr w:type="firstRow">
      <w:rPr>
        <w:rFonts w:ascii="Arial" w:hAnsi="Arial"/>
        <w:color w:val="F2F2F2"/>
        <w:sz w:val="22"/>
      </w:rPr>
      <w:tcPr>
        <w:shd w:val="clear" w:color="FFFFFF" w:themeFill="accent5" w:themeColor="accent5"/>
      </w:tcPr>
    </w:tblStylePr>
    <w:tblStylePr w:type="lastCol">
      <w:rPr>
        <w:rFonts w:ascii="Arial" w:hAnsi="Arial"/>
        <w:color w:val="F2F2F2"/>
        <w:sz w:val="22"/>
      </w:rPr>
      <w:tcPr>
        <w:shd w:val="clear" w:color="FFFFFF" w:themeFill="accent5" w:themeColor="accent5"/>
      </w:tcPr>
    </w:tblStylePr>
    <w:tblStylePr w:type="lastRow">
      <w:rPr>
        <w:rFonts w:ascii="Arial" w:hAnsi="Arial"/>
        <w:color w:val="F2F2F2"/>
        <w:sz w:val="22"/>
      </w:rPr>
      <w:tcPr>
        <w:shd w:val="clear" w:color="FFFFFF" w:themeFill="accent5" w:themeColor="accent5"/>
      </w:tcPr>
    </w:tblStylePr>
  </w:style>
  <w:style w:type="table" w:styleId="157">
    <w:name w:val="Lined - Accent 6"/>
    <w:basedOn w:val="807"/>
    <w:uiPriority w:val="99"/>
    <w:rPr>
      <w:color w:val="404040"/>
    </w:rPr>
    <w:pPr>
      <w:spacing w:lineRule="auto" w:line="240" w:after="0"/>
    </w:p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6" w:themeFillTint="34" w:themeColor="accent6" w:themeTint="34"/>
      </w:tcPr>
    </w:tblStylePr>
    <w:tblStylePr w:type="band2Vert">
      <w:rPr>
        <w:rFonts w:ascii="Arial" w:hAnsi="Arial"/>
        <w:color w:val="404040"/>
        <w:sz w:val="22"/>
      </w:rPr>
      <w:tcPr>
        <w:shd w:val="clear" w:color="FFFFFF" w:themeFill="accent6" w:themeFillTint="34" w:themeColor="accent6" w:themeTint="34"/>
      </w:tcPr>
    </w:tblStylePr>
    <w:tblStylePr w:type="firstCol">
      <w:rPr>
        <w:rFonts w:ascii="Arial" w:hAnsi="Arial"/>
        <w:color w:val="F2F2F2"/>
        <w:sz w:val="22"/>
      </w:rPr>
      <w:tcPr>
        <w:shd w:val="clear" w:color="FFFFFF" w:themeFill="accent6" w:themeColor="accent6"/>
      </w:tcPr>
    </w:tblStylePr>
    <w:tblStylePr w:type="firstRow">
      <w:rPr>
        <w:rFonts w:ascii="Arial" w:hAnsi="Arial"/>
        <w:color w:val="F2F2F2"/>
        <w:sz w:val="22"/>
      </w:rPr>
      <w:tcPr>
        <w:shd w:val="clear" w:color="FFFFFF" w:themeFill="accent6" w:themeColor="accent6"/>
      </w:tcPr>
    </w:tblStylePr>
    <w:tblStylePr w:type="lastCol">
      <w:rPr>
        <w:rFonts w:ascii="Arial" w:hAnsi="Arial"/>
        <w:color w:val="F2F2F2"/>
        <w:sz w:val="22"/>
      </w:rPr>
      <w:tcPr>
        <w:shd w:val="clear" w:color="FFFFFF" w:themeFill="accent6" w:themeColor="accent6"/>
      </w:tcPr>
    </w:tblStylePr>
    <w:tblStylePr w:type="lastRow">
      <w:rPr>
        <w:rFonts w:ascii="Arial" w:hAnsi="Arial"/>
        <w:color w:val="F2F2F2"/>
        <w:sz w:val="22"/>
      </w:rPr>
      <w:tcPr>
        <w:shd w:val="clear" w:color="FFFFFF" w:themeFill="accent6" w:themeColor="accent6"/>
      </w:tcPr>
    </w:tblStylePr>
  </w:style>
  <w:style w:type="table" w:styleId="158">
    <w:name w:val="Bordered &amp; Lined - Accent"/>
    <w:basedOn w:val="807"/>
    <w:uiPriority w:val="99"/>
    <w:rPr>
      <w:color w:val="404040"/>
    </w:rPr>
    <w:pPr>
      <w:spacing w:lineRule="auto" w:line="240" w:after="0"/>
    </w:pPr>
    <w:tblPr>
      <w:tblStyleRowBandSize w:val="1"/>
      <w:tblStyleColBandSize w:val="1"/>
      <w:tblInd w:w="0" w:type="dxa"/>
      <w:tblBorders>
        <w:left w:val="single" w:color="000000" w:sz="4" w:space="0" w:themeColor="text1" w:themeTint="A6"/>
        <w:top w:val="single" w:color="000000" w:sz="4" w:space="0" w:themeColor="text1" w:themeTint="A6"/>
        <w:right w:val="single" w:color="000000" w:sz="4" w:space="0" w:themeColor="text1" w:themeTint="A6"/>
        <w:bottom w:val="single" w:color="000000" w:sz="4" w:space="0" w:themeColor="text1" w:themeTint="A6"/>
        <w:insideV w:val="single" w:color="000000" w:sz="4" w:space="0" w:themeColor="text1" w:themeTint="A6"/>
        <w:insideH w:val="single" w:color="000000" w:sz="4" w:space="0" w:themeColor="text1" w:themeTint="A6"/>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text1" w:themeFillTint="0D" w:themeColor="text1" w:themeTint="0D"/>
      </w:tcPr>
    </w:tblStylePr>
    <w:tblStylePr w:type="band2Vert">
      <w:rPr>
        <w:rFonts w:ascii="Arial" w:hAnsi="Arial"/>
        <w:color w:val="404040"/>
        <w:sz w:val="22"/>
      </w:rPr>
      <w:tcPr>
        <w:shd w:val="clear" w:color="FFFFFF" w:themeFill="text1" w:themeFillTint="0D" w:themeColor="text1" w:themeTint="0D"/>
      </w:tcPr>
    </w:tblStylePr>
    <w:tblStylePr w:type="firstCol">
      <w:rPr>
        <w:rFonts w:ascii="Arial" w:hAnsi="Arial"/>
        <w:color w:val="F2F2F2"/>
        <w:sz w:val="22"/>
      </w:rPr>
      <w:tcPr>
        <w:shd w:val="clear" w:color="FFFFFF" w:themeFill="text1" w:themeFillTint="80" w:themeColor="text1" w:themeTint="80"/>
      </w:tcPr>
    </w:tblStylePr>
    <w:tblStylePr w:type="firstRow">
      <w:rPr>
        <w:rFonts w:ascii="Arial" w:hAnsi="Arial"/>
        <w:color w:val="F2F2F2"/>
        <w:sz w:val="22"/>
      </w:rPr>
      <w:tcPr>
        <w:shd w:val="clear" w:color="FFFFFF" w:themeFill="text1" w:themeFillTint="80" w:themeColor="text1" w:themeTint="80"/>
      </w:tcPr>
    </w:tblStylePr>
    <w:tblStylePr w:type="lastCol">
      <w:rPr>
        <w:rFonts w:ascii="Arial" w:hAnsi="Arial"/>
        <w:color w:val="F2F2F2"/>
        <w:sz w:val="22"/>
      </w:rPr>
      <w:tcPr>
        <w:shd w:val="clear" w:color="FFFFFF" w:themeFill="text1" w:themeFillTint="80" w:themeColor="text1" w:themeTint="80"/>
      </w:tcPr>
    </w:tblStylePr>
    <w:tblStylePr w:type="lastRow">
      <w:rPr>
        <w:rFonts w:ascii="Arial" w:hAnsi="Arial"/>
        <w:color w:val="F2F2F2"/>
        <w:sz w:val="22"/>
      </w:rPr>
      <w:tcPr>
        <w:shd w:val="clear" w:color="FFFFFF" w:themeFill="text1" w:themeFillTint="80" w:themeColor="text1" w:themeTint="80"/>
      </w:tcPr>
    </w:tblStylePr>
  </w:style>
  <w:style w:type="table" w:styleId="159">
    <w:name w:val="Bordered &amp; Lined - Accent 1"/>
    <w:basedOn w:val="807"/>
    <w:uiPriority w:val="99"/>
    <w:rPr>
      <w:color w:val="404040"/>
    </w:rPr>
    <w:pPr>
      <w:spacing w:lineRule="auto" w:line="240" w:after="0"/>
    </w:pPr>
    <w:tblPr>
      <w:tblStyleRowBandSize w:val="1"/>
      <w:tblStyleColBandSize w:val="1"/>
      <w:tblInd w:w="0" w:type="dxa"/>
      <w:tblBorders>
        <w:left w:val="single" w:color="000000" w:sz="4" w:space="0" w:themeColor="accent1" w:themeShade="95"/>
        <w:top w:val="single" w:color="000000" w:sz="4" w:space="0" w:themeColor="accent1" w:themeShade="95"/>
        <w:right w:val="single" w:color="000000" w:sz="4" w:space="0" w:themeColor="accent1" w:themeShade="95"/>
        <w:bottom w:val="single" w:color="000000" w:sz="4" w:space="0" w:themeColor="accent1" w:themeShade="95"/>
        <w:insideV w:val="single" w:color="000000" w:sz="4" w:space="0" w:themeColor="accent1" w:themeShade="95"/>
        <w:insideH w:val="single" w:color="000000" w:sz="4" w:space="0" w:themeColor="accent1"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1" w:themeFillTint="50" w:themeColor="accent1" w:themeTint="50"/>
      </w:tcPr>
    </w:tblStylePr>
    <w:tblStylePr w:type="band2Vert">
      <w:rPr>
        <w:rFonts w:ascii="Arial" w:hAnsi="Arial"/>
        <w:color w:val="404040"/>
        <w:sz w:val="22"/>
      </w:rPr>
      <w:tcPr>
        <w:shd w:val="clear" w:color="FFFFFF" w:themeFill="accent1" w:themeFillTint="50" w:themeColor="accent1" w:themeTint="50"/>
      </w:tcPr>
    </w:tblStylePr>
    <w:tblStylePr w:type="firstCol">
      <w:rPr>
        <w:rFonts w:ascii="Arial" w:hAnsi="Arial"/>
        <w:color w:val="F2F2F2"/>
        <w:sz w:val="22"/>
      </w:rPr>
      <w:tcPr>
        <w:shd w:val="clear" w:color="FFFFFF" w:themeFill="accent1" w:themeFillTint="EA" w:themeColor="accent1" w:themeTint="EA"/>
      </w:tcPr>
    </w:tblStylePr>
    <w:tblStylePr w:type="firstRow">
      <w:rPr>
        <w:rFonts w:ascii="Arial" w:hAnsi="Arial"/>
        <w:color w:val="F2F2F2"/>
        <w:sz w:val="22"/>
      </w:rPr>
      <w:tcPr>
        <w:shd w:val="clear" w:color="FFFFFF" w:themeFill="accent1" w:themeFillTint="EA" w:themeColor="accent1" w:themeTint="EA"/>
      </w:tcPr>
    </w:tblStylePr>
    <w:tblStylePr w:type="lastCol">
      <w:rPr>
        <w:rFonts w:ascii="Arial" w:hAnsi="Arial"/>
        <w:color w:val="F2F2F2"/>
        <w:sz w:val="22"/>
      </w:rPr>
      <w:tcPr>
        <w:shd w:val="clear" w:color="FFFFFF" w:themeFill="accent1" w:themeFillTint="EA" w:themeColor="accent1" w:themeTint="EA"/>
      </w:tcPr>
    </w:tblStylePr>
    <w:tblStylePr w:type="lastRow">
      <w:rPr>
        <w:rFonts w:ascii="Arial" w:hAnsi="Arial"/>
        <w:color w:val="F2F2F2"/>
        <w:sz w:val="22"/>
      </w:rPr>
      <w:tcPr>
        <w:shd w:val="clear" w:color="FFFFFF" w:themeFill="accent1" w:themeFillTint="EA" w:themeColor="accent1" w:themeTint="EA"/>
      </w:tcPr>
    </w:tblStylePr>
  </w:style>
  <w:style w:type="table" w:styleId="160">
    <w:name w:val="Bordered &amp; Lined - Accent 2"/>
    <w:basedOn w:val="807"/>
    <w:uiPriority w:val="99"/>
    <w:rPr>
      <w:color w:val="404040"/>
    </w:rPr>
    <w:pPr>
      <w:spacing w:lineRule="auto" w:line="240" w:after="0"/>
    </w:pPr>
    <w:tblPr>
      <w:tblStyleRowBandSize w:val="1"/>
      <w:tblStyleColBandSize w:val="1"/>
      <w:tblInd w:w="0" w:type="dxa"/>
      <w:tblBorders>
        <w:left w:val="single" w:color="000000" w:sz="4" w:space="0" w:themeColor="accent2" w:themeShade="95"/>
        <w:top w:val="single" w:color="000000" w:sz="4" w:space="0" w:themeColor="accent2" w:themeShade="95"/>
        <w:right w:val="single" w:color="000000" w:sz="4" w:space="0" w:themeColor="accent2" w:themeShade="95"/>
        <w:bottom w:val="single" w:color="000000" w:sz="4" w:space="0" w:themeColor="accent2" w:themeShade="95"/>
        <w:insideV w:val="single" w:color="000000" w:sz="4" w:space="0" w:themeColor="accent2" w:themeShade="95"/>
        <w:insideH w:val="single" w:color="000000" w:sz="4" w:space="0" w:themeColor="accent2"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2" w:themeFillTint="32" w:themeColor="accent2" w:themeTint="32"/>
      </w:tcPr>
    </w:tblStylePr>
    <w:tblStylePr w:type="band2Vert">
      <w:rPr>
        <w:rFonts w:ascii="Arial" w:hAnsi="Arial"/>
        <w:color w:val="404040"/>
        <w:sz w:val="22"/>
      </w:rPr>
      <w:tcPr>
        <w:shd w:val="clear" w:color="FFFFFF" w:themeFill="accent2" w:themeFillTint="32" w:themeColor="accent2" w:themeTint="32"/>
      </w:tcPr>
    </w:tblStylePr>
    <w:tblStylePr w:type="firstCol">
      <w:rPr>
        <w:rFonts w:ascii="Arial" w:hAnsi="Arial"/>
        <w:color w:val="F2F2F2"/>
        <w:sz w:val="22"/>
      </w:rPr>
      <w:tcPr>
        <w:shd w:val="clear" w:color="FFFFFF" w:themeFill="accent2" w:themeFillTint="97" w:themeColor="accent2" w:themeTint="97"/>
      </w:tcPr>
    </w:tblStylePr>
    <w:tblStylePr w:type="firstRow">
      <w:rPr>
        <w:rFonts w:ascii="Arial" w:hAnsi="Arial"/>
        <w:color w:val="F2F2F2"/>
        <w:sz w:val="22"/>
      </w:rPr>
      <w:tcPr>
        <w:shd w:val="clear" w:color="FFFFFF" w:themeFill="accent2" w:themeFillTint="97" w:themeColor="accent2" w:themeTint="97"/>
      </w:tcPr>
    </w:tblStylePr>
    <w:tblStylePr w:type="lastCol">
      <w:rPr>
        <w:rFonts w:ascii="Arial" w:hAnsi="Arial"/>
        <w:color w:val="F2F2F2"/>
        <w:sz w:val="22"/>
      </w:rPr>
      <w:tcPr>
        <w:shd w:val="clear" w:color="FFFFFF" w:themeFill="accent2" w:themeFillTint="97" w:themeColor="accent2" w:themeTint="97"/>
      </w:tcPr>
    </w:tblStylePr>
    <w:tblStylePr w:type="lastRow">
      <w:rPr>
        <w:rFonts w:ascii="Arial" w:hAnsi="Arial"/>
        <w:color w:val="F2F2F2"/>
        <w:sz w:val="22"/>
      </w:rPr>
      <w:tcPr>
        <w:shd w:val="clear" w:color="FFFFFF" w:themeFill="accent2" w:themeFillTint="97" w:themeColor="accent2" w:themeTint="97"/>
      </w:tcPr>
    </w:tblStylePr>
  </w:style>
  <w:style w:type="table" w:styleId="161">
    <w:name w:val="Bordered &amp; Lined - Accent 3"/>
    <w:basedOn w:val="807"/>
    <w:uiPriority w:val="99"/>
    <w:rPr>
      <w:color w:val="404040"/>
    </w:rPr>
    <w:pPr>
      <w:spacing w:lineRule="auto" w:line="240" w:after="0"/>
    </w:pPr>
    <w:tblPr>
      <w:tblStyleRowBandSize w:val="1"/>
      <w:tblStyleColBandSize w:val="1"/>
      <w:tblInd w:w="0" w:type="dxa"/>
      <w:tblBorders>
        <w:left w:val="single" w:color="000000" w:sz="4" w:space="0" w:themeColor="accent3" w:themeShade="95"/>
        <w:top w:val="single" w:color="000000" w:sz="4" w:space="0" w:themeColor="accent3" w:themeShade="95"/>
        <w:right w:val="single" w:color="000000" w:sz="4" w:space="0" w:themeColor="accent3" w:themeShade="95"/>
        <w:bottom w:val="single" w:color="000000" w:sz="4" w:space="0" w:themeColor="accent3" w:themeShade="95"/>
        <w:insideV w:val="single" w:color="000000" w:sz="4" w:space="0" w:themeColor="accent3" w:themeShade="95"/>
        <w:insideH w:val="single" w:color="000000" w:sz="4" w:space="0" w:themeColor="accent3"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3" w:themeFillTint="34" w:themeColor="accent3" w:themeTint="34"/>
      </w:tcPr>
    </w:tblStylePr>
    <w:tblStylePr w:type="band2Vert">
      <w:rPr>
        <w:rFonts w:ascii="Arial" w:hAnsi="Arial"/>
        <w:color w:val="404040"/>
        <w:sz w:val="22"/>
      </w:rPr>
      <w:tcPr>
        <w:shd w:val="clear" w:color="FFFFFF" w:themeFill="accent3" w:themeFillTint="34" w:themeColor="accent3" w:themeTint="34"/>
      </w:tcPr>
    </w:tblStylePr>
    <w:tblStylePr w:type="firstCol">
      <w:rPr>
        <w:rFonts w:ascii="Arial" w:hAnsi="Arial"/>
        <w:color w:val="F2F2F2"/>
        <w:sz w:val="22"/>
      </w:rPr>
      <w:tcPr>
        <w:shd w:val="clear" w:color="FFFFFF" w:themeFill="accent3" w:themeFillTint="FE" w:themeColor="accent3" w:themeTint="FE"/>
      </w:tcPr>
    </w:tblStylePr>
    <w:tblStylePr w:type="firstRow">
      <w:rPr>
        <w:rFonts w:ascii="Arial" w:hAnsi="Arial"/>
        <w:color w:val="F2F2F2"/>
        <w:sz w:val="22"/>
      </w:rPr>
      <w:tcPr>
        <w:shd w:val="clear" w:color="FFFFFF" w:themeFill="accent3" w:themeFillTint="FE" w:themeColor="accent3" w:themeTint="FE"/>
      </w:tcPr>
    </w:tblStylePr>
    <w:tblStylePr w:type="lastCol">
      <w:rPr>
        <w:rFonts w:ascii="Arial" w:hAnsi="Arial"/>
        <w:color w:val="F2F2F2"/>
        <w:sz w:val="22"/>
      </w:rPr>
      <w:tcPr>
        <w:shd w:val="clear" w:color="FFFFFF" w:themeFill="accent3" w:themeFillTint="FE" w:themeColor="accent3" w:themeTint="FE"/>
      </w:tcPr>
    </w:tblStylePr>
    <w:tblStylePr w:type="lastRow">
      <w:rPr>
        <w:rFonts w:ascii="Arial" w:hAnsi="Arial"/>
        <w:color w:val="F2F2F2"/>
        <w:sz w:val="22"/>
      </w:rPr>
      <w:tcPr>
        <w:shd w:val="clear" w:color="FFFFFF" w:themeFill="accent3" w:themeFillTint="FE" w:themeColor="accent3" w:themeTint="FE"/>
      </w:tcPr>
    </w:tblStylePr>
  </w:style>
  <w:style w:type="table" w:styleId="162">
    <w:name w:val="Bordered &amp; Lined - Accent 4"/>
    <w:basedOn w:val="807"/>
    <w:uiPriority w:val="99"/>
    <w:rPr>
      <w:color w:val="404040"/>
    </w:rPr>
    <w:pPr>
      <w:spacing w:lineRule="auto" w:line="240" w:after="0"/>
    </w:pPr>
    <w:tblPr>
      <w:tblStyleRowBandSize w:val="1"/>
      <w:tblStyleColBandSize w:val="1"/>
      <w:tblInd w:w="0" w:type="dxa"/>
      <w:tblBorders>
        <w:left w:val="single" w:color="000000" w:sz="4" w:space="0" w:themeColor="accent4" w:themeShade="95"/>
        <w:top w:val="single" w:color="000000" w:sz="4" w:space="0" w:themeColor="accent4" w:themeShade="95"/>
        <w:right w:val="single" w:color="000000" w:sz="4" w:space="0" w:themeColor="accent4" w:themeShade="95"/>
        <w:bottom w:val="single" w:color="000000" w:sz="4" w:space="0" w:themeColor="accent4" w:themeShade="95"/>
        <w:insideV w:val="single" w:color="000000" w:sz="4" w:space="0" w:themeColor="accent4" w:themeShade="95"/>
        <w:insideH w:val="single" w:color="000000" w:sz="4" w:space="0" w:themeColor="accent4"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4" w:themeFillTint="34" w:themeColor="accent4" w:themeTint="34"/>
      </w:tcPr>
    </w:tblStylePr>
    <w:tblStylePr w:type="band2Vert">
      <w:rPr>
        <w:rFonts w:ascii="Arial" w:hAnsi="Arial"/>
        <w:color w:val="404040"/>
        <w:sz w:val="22"/>
      </w:rPr>
      <w:tcPr>
        <w:shd w:val="clear" w:color="FFFFFF" w:themeFill="accent4" w:themeFillTint="34" w:themeColor="accent4" w:themeTint="34"/>
      </w:tcPr>
    </w:tblStylePr>
    <w:tblStylePr w:type="firstCol">
      <w:rPr>
        <w:rFonts w:ascii="Arial" w:hAnsi="Arial"/>
        <w:color w:val="F2F2F2"/>
        <w:sz w:val="22"/>
      </w:rPr>
      <w:tcPr>
        <w:shd w:val="clear" w:color="FFFFFF" w:themeFill="accent4" w:themeFillTint="9A" w:themeColor="accent4" w:themeTint="9A"/>
      </w:tcPr>
    </w:tblStylePr>
    <w:tblStylePr w:type="firstRow">
      <w:rPr>
        <w:rFonts w:ascii="Arial" w:hAnsi="Arial"/>
        <w:color w:val="F2F2F2"/>
        <w:sz w:val="22"/>
      </w:rPr>
      <w:tcPr>
        <w:shd w:val="clear" w:color="FFFFFF" w:themeFill="accent4" w:themeFillTint="9A" w:themeColor="accent4" w:themeTint="9A"/>
      </w:tcPr>
    </w:tblStylePr>
    <w:tblStylePr w:type="lastCol">
      <w:rPr>
        <w:rFonts w:ascii="Arial" w:hAnsi="Arial"/>
        <w:color w:val="F2F2F2"/>
        <w:sz w:val="22"/>
      </w:rPr>
      <w:tcPr>
        <w:shd w:val="clear" w:color="FFFFFF" w:themeFill="accent4" w:themeFillTint="9A" w:themeColor="accent4" w:themeTint="9A"/>
      </w:tcPr>
    </w:tblStylePr>
    <w:tblStylePr w:type="lastRow">
      <w:rPr>
        <w:rFonts w:ascii="Arial" w:hAnsi="Arial"/>
        <w:color w:val="F2F2F2"/>
        <w:sz w:val="22"/>
      </w:rPr>
      <w:tcPr>
        <w:shd w:val="clear" w:color="FFFFFF" w:themeFill="accent4" w:themeFillTint="9A" w:themeColor="accent4" w:themeTint="9A"/>
      </w:tcPr>
    </w:tblStylePr>
  </w:style>
  <w:style w:type="table" w:styleId="163">
    <w:name w:val="Bordered &amp; Lined - Accent 5"/>
    <w:basedOn w:val="807"/>
    <w:uiPriority w:val="99"/>
    <w:rPr>
      <w:color w:val="404040"/>
    </w:rPr>
    <w:pPr>
      <w:spacing w:lineRule="auto" w:line="240" w:after="0"/>
    </w:pPr>
    <w:tblPr>
      <w:tblStyleRowBandSize w:val="1"/>
      <w:tblStyleColBandSize w:val="1"/>
      <w:tblInd w:w="0" w:type="dxa"/>
      <w:tblBorders>
        <w:left w:val="single" w:color="000000" w:sz="4" w:space="0" w:themeColor="accent5" w:themeShade="95"/>
        <w:top w:val="single" w:color="000000" w:sz="4" w:space="0" w:themeColor="accent5" w:themeShade="95"/>
        <w:right w:val="single" w:color="000000" w:sz="4" w:space="0" w:themeColor="accent5" w:themeShade="95"/>
        <w:bottom w:val="single" w:color="000000" w:sz="4" w:space="0" w:themeColor="accent5" w:themeShade="95"/>
        <w:insideV w:val="single" w:color="000000" w:sz="4" w:space="0" w:themeColor="accent5" w:themeShade="95"/>
        <w:insideH w:val="single" w:color="000000" w:sz="4" w:space="0" w:themeColor="accent5"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5" w:themeFillTint="34" w:themeColor="accent5" w:themeTint="34"/>
      </w:tcPr>
    </w:tblStylePr>
    <w:tblStylePr w:type="band2Vert">
      <w:rPr>
        <w:rFonts w:ascii="Arial" w:hAnsi="Arial"/>
        <w:color w:val="404040"/>
        <w:sz w:val="22"/>
      </w:rPr>
      <w:tcPr>
        <w:shd w:val="clear" w:color="FFFFFF" w:themeFill="accent5" w:themeFillTint="34" w:themeColor="accent5" w:themeTint="34"/>
      </w:tcPr>
    </w:tblStylePr>
    <w:tblStylePr w:type="firstCol">
      <w:rPr>
        <w:rFonts w:ascii="Arial" w:hAnsi="Arial"/>
        <w:color w:val="F2F2F2"/>
        <w:sz w:val="22"/>
      </w:rPr>
      <w:tcPr>
        <w:shd w:val="clear" w:color="FFFFFF" w:themeFill="accent5" w:themeColor="accent5"/>
      </w:tcPr>
    </w:tblStylePr>
    <w:tblStylePr w:type="firstRow">
      <w:rPr>
        <w:rFonts w:ascii="Arial" w:hAnsi="Arial"/>
        <w:color w:val="F2F2F2"/>
        <w:sz w:val="22"/>
      </w:rPr>
      <w:tcPr>
        <w:shd w:val="clear" w:color="FFFFFF" w:themeFill="accent5" w:themeColor="accent5"/>
      </w:tcPr>
    </w:tblStylePr>
    <w:tblStylePr w:type="lastCol">
      <w:rPr>
        <w:rFonts w:ascii="Arial" w:hAnsi="Arial"/>
        <w:color w:val="F2F2F2"/>
        <w:sz w:val="22"/>
      </w:rPr>
      <w:tcPr>
        <w:shd w:val="clear" w:color="FFFFFF" w:themeFill="accent5" w:themeColor="accent5"/>
      </w:tcPr>
    </w:tblStylePr>
    <w:tblStylePr w:type="lastRow">
      <w:rPr>
        <w:rFonts w:ascii="Arial" w:hAnsi="Arial"/>
        <w:color w:val="F2F2F2"/>
        <w:sz w:val="22"/>
      </w:rPr>
      <w:tcPr>
        <w:shd w:val="clear" w:color="FFFFFF" w:themeFill="accent5" w:themeColor="accent5"/>
      </w:tcPr>
    </w:tblStylePr>
  </w:style>
  <w:style w:type="table" w:styleId="164">
    <w:name w:val="Bordered &amp; Lined - Accent 6"/>
    <w:basedOn w:val="807"/>
    <w:uiPriority w:val="99"/>
    <w:rPr>
      <w:color w:val="404040"/>
    </w:rPr>
    <w:pPr>
      <w:spacing w:lineRule="auto" w:line="240" w:after="0"/>
    </w:pPr>
    <w:tblPr>
      <w:tblStyleRowBandSize w:val="1"/>
      <w:tblStyleColBandSize w:val="1"/>
      <w:tblInd w:w="0" w:type="dxa"/>
      <w:tblBorders>
        <w:left w:val="single" w:color="000000" w:sz="4" w:space="0" w:themeColor="accent6" w:themeShade="95"/>
        <w:top w:val="single" w:color="000000" w:sz="4" w:space="0" w:themeColor="accent6" w:themeShade="95"/>
        <w:right w:val="single" w:color="000000" w:sz="4" w:space="0" w:themeColor="accent6" w:themeShade="95"/>
        <w:bottom w:val="single" w:color="000000" w:sz="4" w:space="0" w:themeColor="accent6" w:themeShade="95"/>
        <w:insideV w:val="single" w:color="000000" w:sz="4" w:space="0" w:themeColor="accent6" w:themeShade="95"/>
        <w:insideH w:val="single" w:color="000000" w:sz="4" w:space="0" w:themeColor="accent6" w:themeShade="95"/>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Fill="accent6" w:themeFillTint="34" w:themeColor="accent6" w:themeTint="34"/>
      </w:tcPr>
    </w:tblStylePr>
    <w:tblStylePr w:type="band2Vert">
      <w:rPr>
        <w:rFonts w:ascii="Arial" w:hAnsi="Arial"/>
        <w:color w:val="404040"/>
        <w:sz w:val="22"/>
      </w:rPr>
      <w:tcPr>
        <w:shd w:val="clear" w:color="FFFFFF" w:themeFill="accent6" w:themeFillTint="34" w:themeColor="accent6" w:themeTint="34"/>
      </w:tcPr>
    </w:tblStylePr>
    <w:tblStylePr w:type="firstCol">
      <w:rPr>
        <w:rFonts w:ascii="Arial" w:hAnsi="Arial"/>
        <w:color w:val="F2F2F2"/>
        <w:sz w:val="22"/>
      </w:rPr>
      <w:tcPr>
        <w:shd w:val="clear" w:color="FFFFFF" w:themeFill="accent6" w:themeColor="accent6"/>
      </w:tcPr>
    </w:tblStylePr>
    <w:tblStylePr w:type="firstRow">
      <w:rPr>
        <w:rFonts w:ascii="Arial" w:hAnsi="Arial"/>
        <w:color w:val="F2F2F2"/>
        <w:sz w:val="22"/>
      </w:rPr>
      <w:tcPr>
        <w:shd w:val="clear" w:color="FFFFFF" w:themeFill="accent6" w:themeColor="accent6"/>
      </w:tcPr>
    </w:tblStylePr>
    <w:tblStylePr w:type="lastCol">
      <w:rPr>
        <w:rFonts w:ascii="Arial" w:hAnsi="Arial"/>
        <w:color w:val="F2F2F2"/>
        <w:sz w:val="22"/>
      </w:rPr>
      <w:tcPr>
        <w:shd w:val="clear" w:color="FFFFFF" w:themeFill="accent6" w:themeColor="accent6"/>
      </w:tcPr>
    </w:tblStylePr>
    <w:tblStylePr w:type="lastRow">
      <w:rPr>
        <w:rFonts w:ascii="Arial" w:hAnsi="Arial"/>
        <w:color w:val="F2F2F2"/>
        <w:sz w:val="22"/>
      </w:rPr>
      <w:tcPr>
        <w:shd w:val="clear" w:color="FFFFFF" w:themeFill="accent6" w:themeColor="accent6"/>
      </w:tcPr>
    </w:tblStylePr>
  </w:style>
  <w:style w:type="table" w:styleId="165">
    <w:name w:val="Bordered"/>
    <w:basedOn w:val="807"/>
    <w:uiPriority w:val="99"/>
    <w:pPr>
      <w:spacing w:lineRule="auto" w:line="240" w:after="0"/>
    </w:pPr>
    <w:tblPr>
      <w:tblStyleRowBandSize w:val="1"/>
      <w:tblStyleColBandSize w:val="1"/>
      <w:tblInd w:w="0" w:type="dxa"/>
      <w:tbl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insideV w:val="single" w:color="000000" w:sz="4" w:space="0" w:themeColor="text1" w:themeTint="26"/>
        <w:insideH w:val="single" w:color="000000" w:sz="4" w:space="0" w:themeColor="text1" w:themeTint="26"/>
      </w:tblBorders>
    </w:tblPr>
    <w:tblStylePr w:type="band1Horz">
      <w:rPr>
        <w:rFonts w:ascii="Arial" w:hAnsi="Arial"/>
        <w:color w:val="404040"/>
        <w:sz w:val="22"/>
      </w:rPr>
      <w:tcPr>
        <w:tcBorders>
          <w:left w:val="single" w:color="000000" w:sz="4" w:space="0" w:themeColor="text1" w:themeTint="26"/>
          <w:top w:val="single" w:color="000000" w:sz="4" w:space="0" w:themeColor="text1" w:themeTint="26"/>
          <w:right w:val="single" w:color="000000" w:sz="4" w:space="0" w:themeColor="text1" w:themeTint="26"/>
          <w:bottom w:val="single" w:color="000000" w:sz="4" w:space="0" w:themeColor="text1" w:themeTint="26"/>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text1" w:themeTint="80"/>
        </w:tcBorders>
      </w:tcPr>
    </w:tblStylePr>
    <w:tblStylePr w:type="lastCol">
      <w:rPr>
        <w:rFonts w:ascii="Arial" w:hAnsi="Arial"/>
        <w:color w:val="404040"/>
        <w:sz w:val="22"/>
      </w:rPr>
      <w:tcPr>
        <w:tcBorders>
          <w:left w:val="single" w:color="000000" w:sz="12" w:space="0" w:themeColor="text1" w:themeTint="80"/>
        </w:tcBorders>
      </w:tcPr>
    </w:tblStylePr>
    <w:tblStylePr w:type="lastRow">
      <w:rPr>
        <w:rFonts w:ascii="Arial" w:hAnsi="Arial"/>
        <w:color w:val="404040"/>
        <w:sz w:val="22"/>
      </w:rPr>
      <w:tcPr>
        <w:tcBorders>
          <w:top w:val="single" w:color="000000" w:sz="12" w:space="0" w:themeColor="text1" w:themeTint="80"/>
        </w:tcBorders>
      </w:tcPr>
    </w:tblStylePr>
  </w:style>
  <w:style w:type="table" w:styleId="166">
    <w:name w:val="Bordered - Accent 1"/>
    <w:basedOn w:val="807"/>
    <w:uiPriority w:val="99"/>
    <w:pPr>
      <w:spacing w:lineRule="auto" w:line="240" w:after="0"/>
    </w:pPr>
    <w:tblPr>
      <w:tblStyleRowBandSize w:val="1"/>
      <w:tblStyleColBandSize w:val="1"/>
      <w:tblInd w:w="0" w:type="dxa"/>
      <w:tbl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insideV w:val="single" w:color="000000" w:sz="4" w:space="0" w:themeColor="accent1" w:themeTint="67"/>
        <w:insideH w:val="single" w:color="000000" w:sz="4" w:space="0" w:themeColor="accent1" w:themeTint="67"/>
      </w:tblBorders>
    </w:tblPr>
    <w:tblStylePr w:type="band1Horz">
      <w:rPr>
        <w:rFonts w:ascii="Arial" w:hAnsi="Arial"/>
        <w:color w:val="404040"/>
        <w:sz w:val="22"/>
      </w:rPr>
      <w:tcPr>
        <w:tcBorders>
          <w:left w:val="single" w:color="000000" w:sz="4" w:space="0" w:themeColor="accent1" w:themeTint="67"/>
          <w:top w:val="single" w:color="000000" w:sz="4" w:space="0" w:themeColor="accent1" w:themeTint="67"/>
          <w:right w:val="single" w:color="000000" w:sz="4" w:space="0" w:themeColor="accent1" w:themeTint="67"/>
          <w:bottom w:val="single" w:color="000000" w:sz="4" w:space="0" w:themeColor="accent1"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1"/>
        </w:tcBorders>
      </w:tcPr>
    </w:tblStylePr>
    <w:tblStylePr w:type="lastCol">
      <w:rPr>
        <w:rFonts w:ascii="Arial" w:hAnsi="Arial"/>
        <w:color w:val="404040"/>
        <w:sz w:val="22"/>
      </w:rPr>
      <w:tcPr>
        <w:tcBorders>
          <w:left w:val="single" w:color="000000" w:sz="12" w:space="0" w:themeColor="accent1"/>
        </w:tcBorders>
      </w:tcPr>
    </w:tblStylePr>
    <w:tblStylePr w:type="lastRow">
      <w:rPr>
        <w:rFonts w:ascii="Arial" w:hAnsi="Arial"/>
        <w:color w:val="404040"/>
        <w:sz w:val="22"/>
      </w:rPr>
      <w:tcPr>
        <w:tcBorders>
          <w:top w:val="single" w:color="000000" w:sz="12" w:space="0" w:themeColor="accent1"/>
        </w:tcBorders>
      </w:tcPr>
    </w:tblStylePr>
  </w:style>
  <w:style w:type="table" w:styleId="167">
    <w:name w:val="Bordered - Accent 2"/>
    <w:basedOn w:val="807"/>
    <w:uiPriority w:val="99"/>
    <w:pPr>
      <w:spacing w:lineRule="auto" w:line="240" w:after="0"/>
    </w:pPr>
    <w:tblPr>
      <w:tblStyleRowBandSize w:val="1"/>
      <w:tblStyleColBandSize w:val="1"/>
      <w:tblInd w:w="0" w:type="dxa"/>
      <w:tbl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insideV w:val="single" w:color="000000" w:sz="4" w:space="0" w:themeColor="accent2" w:themeTint="67"/>
        <w:insideH w:val="single" w:color="000000" w:sz="4" w:space="0" w:themeColor="accent2" w:themeTint="67"/>
      </w:tblBorders>
    </w:tblPr>
    <w:tblStylePr w:type="band1Horz">
      <w:rPr>
        <w:rFonts w:ascii="Arial" w:hAnsi="Arial"/>
        <w:color w:val="404040"/>
        <w:sz w:val="22"/>
      </w:rPr>
      <w:tcPr>
        <w:tcBorders>
          <w:left w:val="single" w:color="000000" w:sz="4" w:space="0" w:themeColor="accent2" w:themeTint="67"/>
          <w:top w:val="single" w:color="000000" w:sz="4" w:space="0" w:themeColor="accent2" w:themeTint="67"/>
          <w:right w:val="single" w:color="000000" w:sz="4" w:space="0" w:themeColor="accent2" w:themeTint="67"/>
          <w:bottom w:val="single" w:color="000000" w:sz="4" w:space="0" w:themeColor="accent2"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2" w:themeTint="97"/>
        </w:tcBorders>
      </w:tcPr>
    </w:tblStylePr>
    <w:tblStylePr w:type="lastCol">
      <w:rPr>
        <w:rFonts w:ascii="Arial" w:hAnsi="Arial"/>
        <w:color w:val="404040"/>
        <w:sz w:val="22"/>
      </w:rPr>
      <w:tcPr>
        <w:tcBorders>
          <w:left w:val="single" w:color="000000" w:sz="12" w:space="0" w:themeColor="accent2" w:themeTint="97"/>
        </w:tcBorders>
      </w:tcPr>
    </w:tblStylePr>
    <w:tblStylePr w:type="lastRow">
      <w:rPr>
        <w:rFonts w:ascii="Arial" w:hAnsi="Arial"/>
        <w:color w:val="404040"/>
        <w:sz w:val="22"/>
      </w:rPr>
      <w:tcPr>
        <w:tcBorders>
          <w:top w:val="single" w:color="000000" w:sz="12" w:space="0" w:themeColor="accent2" w:themeTint="97"/>
        </w:tcBorders>
      </w:tcPr>
    </w:tblStylePr>
  </w:style>
  <w:style w:type="table" w:styleId="168">
    <w:name w:val="Bordered - Accent 3"/>
    <w:basedOn w:val="807"/>
    <w:uiPriority w:val="99"/>
    <w:pPr>
      <w:spacing w:lineRule="auto" w:line="240" w:after="0"/>
    </w:pPr>
    <w:tblPr>
      <w:tblStyleRowBandSize w:val="1"/>
      <w:tblStyleColBandSize w:val="1"/>
      <w:tblInd w:w="0" w:type="dxa"/>
      <w:tbl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insideV w:val="single" w:color="000000" w:sz="4" w:space="0" w:themeColor="accent3" w:themeTint="67"/>
        <w:insideH w:val="single" w:color="000000" w:sz="4" w:space="0" w:themeColor="accent3" w:themeTint="67"/>
      </w:tblBorders>
    </w:tblPr>
    <w:tblStylePr w:type="band1Horz">
      <w:rPr>
        <w:rFonts w:ascii="Arial" w:hAnsi="Arial"/>
        <w:color w:val="404040"/>
        <w:sz w:val="22"/>
      </w:rPr>
      <w:tcPr>
        <w:tcBorders>
          <w:left w:val="single" w:color="000000" w:sz="4" w:space="0" w:themeColor="accent3" w:themeTint="67"/>
          <w:top w:val="single" w:color="000000" w:sz="4" w:space="0" w:themeColor="accent3" w:themeTint="67"/>
          <w:right w:val="single" w:color="000000" w:sz="4" w:space="0" w:themeColor="accent3" w:themeTint="67"/>
          <w:bottom w:val="single" w:color="000000" w:sz="4" w:space="0" w:themeColor="accent3"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3" w:themeTint="98"/>
        </w:tcBorders>
      </w:tcPr>
    </w:tblStylePr>
    <w:tblStylePr w:type="lastCol">
      <w:rPr>
        <w:rFonts w:ascii="Arial" w:hAnsi="Arial"/>
        <w:color w:val="404040"/>
        <w:sz w:val="22"/>
      </w:rPr>
      <w:tcPr>
        <w:tcBorders>
          <w:left w:val="single" w:color="000000" w:sz="12" w:space="0" w:themeColor="accent3" w:themeTint="98"/>
        </w:tcBorders>
      </w:tcPr>
    </w:tblStylePr>
    <w:tblStylePr w:type="lastRow">
      <w:rPr>
        <w:rFonts w:ascii="Arial" w:hAnsi="Arial"/>
        <w:color w:val="404040"/>
        <w:sz w:val="22"/>
      </w:rPr>
      <w:tcPr>
        <w:tcBorders>
          <w:top w:val="single" w:color="000000" w:sz="12" w:space="0" w:themeColor="accent3" w:themeTint="98"/>
        </w:tcBorders>
      </w:tcPr>
    </w:tblStylePr>
  </w:style>
  <w:style w:type="table" w:styleId="169">
    <w:name w:val="Bordered - Accent 4"/>
    <w:basedOn w:val="807"/>
    <w:uiPriority w:val="99"/>
    <w:pPr>
      <w:spacing w:lineRule="auto" w:line="240" w:after="0"/>
    </w:pPr>
    <w:tblPr>
      <w:tblStyleRowBandSize w:val="1"/>
      <w:tblStyleColBandSize w:val="1"/>
      <w:tblInd w:w="0" w:type="dxa"/>
      <w:tbl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insideV w:val="single" w:color="000000" w:sz="4" w:space="0" w:themeColor="accent4" w:themeTint="67"/>
        <w:insideH w:val="single" w:color="000000" w:sz="4" w:space="0" w:themeColor="accent4" w:themeTint="67"/>
      </w:tblBorders>
    </w:tblPr>
    <w:tblStylePr w:type="band1Horz">
      <w:rPr>
        <w:rFonts w:ascii="Arial" w:hAnsi="Arial"/>
        <w:color w:val="404040"/>
        <w:sz w:val="22"/>
      </w:rPr>
      <w:tcPr>
        <w:tcBorders>
          <w:left w:val="single" w:color="000000" w:sz="4" w:space="0" w:themeColor="accent4" w:themeTint="67"/>
          <w:top w:val="single" w:color="000000" w:sz="4" w:space="0" w:themeColor="accent4" w:themeTint="67"/>
          <w:right w:val="single" w:color="000000" w:sz="4" w:space="0" w:themeColor="accent4" w:themeTint="67"/>
          <w:bottom w:val="single" w:color="000000" w:sz="4" w:space="0" w:themeColor="accent4"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4" w:themeTint="9A"/>
        </w:tcBorders>
      </w:tcPr>
    </w:tblStylePr>
    <w:tblStylePr w:type="lastCol">
      <w:rPr>
        <w:rFonts w:ascii="Arial" w:hAnsi="Arial"/>
        <w:color w:val="404040"/>
        <w:sz w:val="22"/>
      </w:rPr>
      <w:tcPr>
        <w:tcBorders>
          <w:left w:val="single" w:color="000000" w:sz="12" w:space="0" w:themeColor="accent4" w:themeTint="9A"/>
        </w:tcBorders>
      </w:tcPr>
    </w:tblStylePr>
    <w:tblStylePr w:type="lastRow">
      <w:rPr>
        <w:rFonts w:ascii="Arial" w:hAnsi="Arial"/>
        <w:color w:val="404040"/>
        <w:sz w:val="22"/>
      </w:rPr>
      <w:tcPr>
        <w:tcBorders>
          <w:top w:val="single" w:color="000000" w:sz="12" w:space="0" w:themeColor="accent4" w:themeTint="9A"/>
        </w:tcBorders>
      </w:tcPr>
    </w:tblStylePr>
  </w:style>
  <w:style w:type="table" w:styleId="170">
    <w:name w:val="Bordered - Accent 5"/>
    <w:basedOn w:val="807"/>
    <w:uiPriority w:val="99"/>
    <w:pPr>
      <w:spacing w:lineRule="auto" w:line="240" w:after="0"/>
    </w:pPr>
    <w:tblPr>
      <w:tblStyleRowBandSize w:val="1"/>
      <w:tblStyleColBandSize w:val="1"/>
      <w:tblInd w:w="0" w:type="dxa"/>
      <w:tbl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insideV w:val="single" w:color="000000" w:sz="4" w:space="0" w:themeColor="accent5" w:themeTint="67"/>
        <w:insideH w:val="single" w:color="000000" w:sz="4" w:space="0" w:themeColor="accent5" w:themeTint="67"/>
      </w:tblBorders>
    </w:tblPr>
    <w:tblStylePr w:type="band1Horz">
      <w:rPr>
        <w:rFonts w:ascii="Arial" w:hAnsi="Arial"/>
        <w:color w:val="404040"/>
        <w:sz w:val="22"/>
      </w:rPr>
      <w:tcPr>
        <w:tcBorders>
          <w:left w:val="single" w:color="000000" w:sz="4" w:space="0" w:themeColor="accent5" w:themeTint="67"/>
          <w:top w:val="single" w:color="000000" w:sz="4" w:space="0" w:themeColor="accent5" w:themeTint="67"/>
          <w:right w:val="single" w:color="000000" w:sz="4" w:space="0" w:themeColor="accent5" w:themeTint="67"/>
          <w:bottom w:val="single" w:color="000000" w:sz="4" w:space="0" w:themeColor="accent5"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5" w:themeTint="9A"/>
        </w:tcBorders>
      </w:tcPr>
    </w:tblStylePr>
    <w:tblStylePr w:type="lastCol">
      <w:rPr>
        <w:rFonts w:ascii="Arial" w:hAnsi="Arial"/>
        <w:color w:val="404040"/>
        <w:sz w:val="22"/>
      </w:rPr>
      <w:tcPr>
        <w:tcBorders>
          <w:left w:val="single" w:color="000000" w:sz="12" w:space="0" w:themeColor="accent5" w:themeTint="9A"/>
        </w:tcBorders>
      </w:tcPr>
    </w:tblStylePr>
    <w:tblStylePr w:type="lastRow">
      <w:rPr>
        <w:rFonts w:ascii="Arial" w:hAnsi="Arial"/>
        <w:color w:val="404040"/>
        <w:sz w:val="22"/>
      </w:rPr>
      <w:tcPr>
        <w:tcBorders>
          <w:top w:val="single" w:color="000000" w:sz="12" w:space="0" w:themeColor="accent5" w:themeTint="9A"/>
        </w:tcBorders>
      </w:tcPr>
    </w:tblStylePr>
  </w:style>
  <w:style w:type="table" w:styleId="171">
    <w:name w:val="Bordered - Accent 6"/>
    <w:basedOn w:val="807"/>
    <w:uiPriority w:val="99"/>
    <w:pPr>
      <w:spacing w:lineRule="auto" w:line="240" w:after="0"/>
    </w:pPr>
    <w:tblPr>
      <w:tblStyleRowBandSize w:val="1"/>
      <w:tblStyleColBandSize w:val="1"/>
      <w:tblInd w:w="0" w:type="dxa"/>
      <w:tbl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insideV w:val="single" w:color="000000" w:sz="4" w:space="0" w:themeColor="accent6" w:themeTint="67"/>
        <w:insideH w:val="single" w:color="000000" w:sz="4" w:space="0" w:themeColor="accent6" w:themeTint="67"/>
      </w:tblBorders>
    </w:tblPr>
    <w:tblStylePr w:type="band1Horz">
      <w:rPr>
        <w:rFonts w:ascii="Arial" w:hAnsi="Arial"/>
        <w:color w:val="404040"/>
        <w:sz w:val="22"/>
      </w:rPr>
      <w:tcPr>
        <w:tcBorders>
          <w:left w:val="single" w:color="000000" w:sz="4" w:space="0" w:themeColor="accent6" w:themeTint="67"/>
          <w:top w:val="single" w:color="000000" w:sz="4" w:space="0" w:themeColor="accent6" w:themeTint="67"/>
          <w:right w:val="single" w:color="000000" w:sz="4" w:space="0" w:themeColor="accent6" w:themeTint="67"/>
          <w:bottom w:val="single" w:color="000000" w:sz="4" w:space="0" w:themeColor="accent6" w:themeTint="67"/>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sz="12" w:space="0" w:themeColor="accent6" w:themeTint="98"/>
        </w:tcBorders>
      </w:tcPr>
    </w:tblStylePr>
    <w:tblStylePr w:type="lastCol">
      <w:rPr>
        <w:rFonts w:ascii="Arial" w:hAnsi="Arial"/>
        <w:color w:val="404040"/>
        <w:sz w:val="22"/>
      </w:rPr>
      <w:tcPr>
        <w:tcBorders>
          <w:left w:val="single" w:color="000000" w:sz="12" w:space="0" w:themeColor="accent6" w:themeTint="98"/>
        </w:tcBorders>
      </w:tcPr>
    </w:tblStylePr>
    <w:tblStylePr w:type="lastRow">
      <w:rPr>
        <w:rFonts w:ascii="Arial" w:hAnsi="Arial"/>
        <w:color w:val="404040"/>
        <w:sz w:val="22"/>
      </w:rPr>
      <w:tcPr>
        <w:tcBorders>
          <w:top w:val="single" w:color="000000" w:sz="12" w:space="0" w:themeColor="accent6" w:themeTint="98"/>
        </w:tcBorders>
      </w:tcPr>
    </w:tblStylePr>
  </w:style>
  <w:style w:type="character" w:styleId="172">
    <w:name w:val="Hyperlink"/>
    <w:uiPriority w:val="99"/>
    <w:unhideWhenUsed/>
    <w:rPr>
      <w:color w:val="0000FF" w:themeColor="hyperlink"/>
      <w:u w:val="single"/>
    </w:rPr>
  </w:style>
  <w:style w:type="paragraph" w:styleId="173">
    <w:name w:val="footnote text"/>
    <w:basedOn w:val="805"/>
    <w:link w:val="174"/>
    <w:uiPriority w:val="99"/>
    <w:semiHidden/>
    <w:unhideWhenUsed/>
    <w:rPr>
      <w:sz w:val="18"/>
    </w:rPr>
    <w:pPr>
      <w:spacing w:lineRule="auto" w:line="240" w:after="40"/>
    </w:pPr>
  </w:style>
  <w:style w:type="character" w:styleId="174">
    <w:name w:val="Footnote Text Char"/>
    <w:link w:val="173"/>
    <w:uiPriority w:val="99"/>
    <w:rPr>
      <w:sz w:val="18"/>
    </w:rPr>
  </w:style>
  <w:style w:type="character" w:styleId="175">
    <w:name w:val="footnote reference"/>
    <w:basedOn w:val="806"/>
    <w:uiPriority w:val="99"/>
    <w:unhideWhenUsed/>
    <w:rPr>
      <w:vertAlign w:val="superscript"/>
    </w:rPr>
  </w:style>
  <w:style w:type="paragraph" w:styleId="176">
    <w:name w:val="endnote text"/>
    <w:basedOn w:val="805"/>
    <w:link w:val="177"/>
    <w:uiPriority w:val="99"/>
    <w:semiHidden/>
    <w:unhideWhenUsed/>
    <w:rPr>
      <w:sz w:val="20"/>
    </w:rPr>
    <w:pPr>
      <w:spacing w:lineRule="auto" w:line="240" w:after="0"/>
    </w:pPr>
  </w:style>
  <w:style w:type="character" w:styleId="177">
    <w:name w:val="Endnote Text Char"/>
    <w:link w:val="176"/>
    <w:uiPriority w:val="99"/>
    <w:rPr>
      <w:sz w:val="20"/>
    </w:rPr>
  </w:style>
  <w:style w:type="character" w:styleId="178">
    <w:name w:val="endnote reference"/>
    <w:basedOn w:val="806"/>
    <w:uiPriority w:val="99"/>
    <w:semiHidden/>
    <w:unhideWhenUsed/>
    <w:rPr>
      <w:vertAlign w:val="superscript"/>
    </w:rPr>
  </w:style>
  <w:style w:type="paragraph" w:styleId="179">
    <w:name w:val="toc 1"/>
    <w:basedOn w:val="805"/>
    <w:next w:val="805"/>
    <w:uiPriority w:val="39"/>
    <w:unhideWhenUsed/>
    <w:pPr>
      <w:ind w:left="0" w:right="0" w:firstLine="0"/>
      <w:spacing w:after="57"/>
    </w:pPr>
  </w:style>
  <w:style w:type="paragraph" w:styleId="180">
    <w:name w:val="toc 2"/>
    <w:basedOn w:val="805"/>
    <w:next w:val="805"/>
    <w:uiPriority w:val="39"/>
    <w:unhideWhenUsed/>
    <w:pPr>
      <w:ind w:left="283" w:right="0" w:firstLine="0"/>
      <w:spacing w:after="57"/>
    </w:pPr>
  </w:style>
  <w:style w:type="paragraph" w:styleId="181">
    <w:name w:val="toc 3"/>
    <w:basedOn w:val="805"/>
    <w:next w:val="805"/>
    <w:uiPriority w:val="39"/>
    <w:unhideWhenUsed/>
    <w:pPr>
      <w:ind w:left="567" w:right="0" w:firstLine="0"/>
      <w:spacing w:after="57"/>
    </w:pPr>
  </w:style>
  <w:style w:type="paragraph" w:styleId="182">
    <w:name w:val="toc 4"/>
    <w:basedOn w:val="805"/>
    <w:next w:val="805"/>
    <w:uiPriority w:val="39"/>
    <w:unhideWhenUsed/>
    <w:pPr>
      <w:ind w:left="850" w:right="0" w:firstLine="0"/>
      <w:spacing w:after="57"/>
    </w:pPr>
  </w:style>
  <w:style w:type="paragraph" w:styleId="183">
    <w:name w:val="toc 5"/>
    <w:basedOn w:val="805"/>
    <w:next w:val="805"/>
    <w:uiPriority w:val="39"/>
    <w:unhideWhenUsed/>
    <w:pPr>
      <w:ind w:left="1134" w:right="0" w:firstLine="0"/>
      <w:spacing w:after="57"/>
    </w:pPr>
  </w:style>
  <w:style w:type="paragraph" w:styleId="184">
    <w:name w:val="toc 6"/>
    <w:basedOn w:val="805"/>
    <w:next w:val="805"/>
    <w:uiPriority w:val="39"/>
    <w:unhideWhenUsed/>
    <w:pPr>
      <w:ind w:left="1417" w:right="0" w:firstLine="0"/>
      <w:spacing w:after="57"/>
    </w:pPr>
  </w:style>
  <w:style w:type="paragraph" w:styleId="185">
    <w:name w:val="toc 7"/>
    <w:basedOn w:val="805"/>
    <w:next w:val="805"/>
    <w:uiPriority w:val="39"/>
    <w:unhideWhenUsed/>
    <w:pPr>
      <w:ind w:left="1701" w:right="0" w:firstLine="0"/>
      <w:spacing w:after="57"/>
    </w:pPr>
  </w:style>
  <w:style w:type="paragraph" w:styleId="186">
    <w:name w:val="toc 8"/>
    <w:basedOn w:val="805"/>
    <w:next w:val="805"/>
    <w:uiPriority w:val="39"/>
    <w:unhideWhenUsed/>
    <w:pPr>
      <w:ind w:left="1984" w:right="0" w:firstLine="0"/>
      <w:spacing w:after="57"/>
    </w:pPr>
  </w:style>
  <w:style w:type="paragraph" w:styleId="187">
    <w:name w:val="toc 9"/>
    <w:basedOn w:val="805"/>
    <w:next w:val="805"/>
    <w:uiPriority w:val="39"/>
    <w:unhideWhenUsed/>
    <w:pPr>
      <w:ind w:left="2268" w:right="0" w:firstLine="0"/>
      <w:spacing w:after="57"/>
    </w:pPr>
  </w:style>
  <w:style w:type="paragraph" w:styleId="188">
    <w:name w:val="TOC Heading"/>
    <w:uiPriority w:val="39"/>
    <w:unhideWhenUsed/>
  </w:style>
  <w:style w:type="paragraph" w:styleId="189">
    <w:name w:val="table of figures"/>
    <w:basedOn w:val="805"/>
    <w:next w:val="805"/>
    <w:uiPriority w:val="99"/>
    <w:unhideWhenUsed/>
    <w:pPr>
      <w:spacing w:after="0" w:afterAutospacing="0"/>
    </w:pPr>
  </w:style>
  <w:style w:type="paragraph" w:styleId="805" w:default="1">
    <w:name w:val="Normal"/>
    <w:qFormat/>
    <w:uiPriority w:val="0"/>
    <w:rPr>
      <w:rFonts w:ascii="Calibri" w:hAnsi="Calibri" w:cs="Calibri" w:eastAsia="Calibri"/>
      <w:sz w:val="22"/>
      <w:szCs w:val="22"/>
      <w:lang w:val="ru-RU" w:bidi="ru-RU"/>
    </w:rPr>
    <w:pPr>
      <w:ind w:left="0" w:right="0"/>
      <w:jc w:val="left"/>
      <w:spacing w:lineRule="auto" w:line="276" w:after="200" w:before="0"/>
    </w:pPr>
  </w:style>
  <w:style w:type="character" w:styleId="806" w:default="1">
    <w:name w:val="Default Paragraph Font"/>
    <w:uiPriority w:val="1"/>
    <w:unhideWhenUsed/>
    <w:rPr>
      <w:rFonts w:ascii="Times New Roman" w:hAnsi="Times New Roman" w:cs="Times New Roman" w:eastAsia="Times New Roman"/>
      <w:sz w:val="24"/>
    </w:rPr>
  </w:style>
  <w:style w:type="table" w:styleId="807" w:default="1">
    <w:name w:val="Normal Table"/>
    <w:semiHidden/>
    <w:unhideWhenUsed/>
    <w:rPr>
      <w:rFonts w:ascii="Calibri" w:hAnsi="Calibri" w:cs="Calibri" w:eastAsia="Calibri"/>
      <w:sz w:val="20"/>
      <w:szCs w:val="20"/>
      <w:lang w:val="ru-RU" w:bidi="ru-RU"/>
    </w:rPr>
    <w:pPr>
      <w:ind w:left="0" w:right="0"/>
      <w:jc w:val="left"/>
      <w:spacing w:lineRule="auto" w:line="240" w:after="0" w:before="0"/>
    </w:pPr>
    <w:tblPr>
      <w:tblW w:w="0" w:type="auto"/>
      <w:tblInd w:w="0" w:type="dxa"/>
      <w:tblBorders>
        <w:left w:val="none" w:color="000000" w:sz="0" w:space="0"/>
        <w:top w:val="none" w:color="000000" w:sz="0" w:space="0"/>
        <w:right w:val="none" w:color="000000" w:sz="0" w:space="0"/>
        <w:bottom w:val="none" w:color="000000" w:sz="0" w:space="0"/>
        <w:insideV w:val="none" w:color="000000" w:sz="0" w:space="0"/>
        <w:insideH w:val="none" w:color="000000" w:sz="0" w:space="0"/>
      </w:tblBorders>
      <w:tblLayout w:type="fixed"/>
      <w:tblCellMar>
        <w:left w:w="108" w:type="dxa"/>
        <w:right w:w="108" w:type="dxa"/>
      </w:tblCellMar>
    </w:tblPr>
  </w:style>
  <w:style w:type="paragraph" w:styleId="808">
    <w:name w:val="ConsPlusNormal"/>
    <w:uiPriority w:val="0"/>
    <w:rPr>
      <w:rFonts w:ascii="Arial" w:hAnsi="Arial" w:cs="Arial" w:eastAsia="Arial"/>
      <w:sz w:val="20"/>
      <w:szCs w:val="20"/>
      <w:lang w:val="ru-RU" w:bidi="ru-RU"/>
    </w:rPr>
    <w:pPr>
      <w:ind w:left="0" w:right="0"/>
      <w:jc w:val="left"/>
      <w:spacing w:lineRule="auto" w:line="240" w:after="0" w:before="0"/>
    </w:pPr>
  </w:style>
  <w:style w:type="paragraph" w:styleId="809">
    <w:name w:val="ConsPlusNonformat"/>
    <w:rPr>
      <w:rFonts w:ascii="Courier New" w:hAnsi="Courier New" w:cs="Courier New" w:eastAsia="Courier New"/>
      <w:sz w:val="20"/>
      <w:szCs w:val="20"/>
      <w:lang w:val="ru-RU" w:bidi="ru-RU"/>
    </w:rPr>
    <w:pPr>
      <w:ind w:left="0" w:right="0"/>
      <w:jc w:val="left"/>
      <w:spacing w:lineRule="auto" w:line="240" w:after="0" w:before="0"/>
    </w:pPr>
  </w:style>
  <w:style w:type="paragraph" w:styleId="810">
    <w:name w:val="ConsPlusTitle"/>
    <w:rPr>
      <w:rFonts w:ascii="Arial" w:hAnsi="Arial" w:cs="Arial" w:eastAsia="Arial"/>
      <w:b/>
      <w:bCs/>
      <w:sz w:val="20"/>
      <w:szCs w:val="20"/>
      <w:lang w:val="ru-RU" w:bidi="ru-RU"/>
    </w:rPr>
    <w:pPr>
      <w:ind w:left="0" w:right="0"/>
      <w:jc w:val="left"/>
      <w:spacing w:lineRule="auto" w:line="240" w:after="0" w:before="0"/>
    </w:pPr>
  </w:style>
  <w:style w:type="paragraph" w:styleId="811">
    <w:name w:val="ConsPlusCell"/>
    <w:rPr>
      <w:rFonts w:ascii="Courier New" w:hAnsi="Courier New" w:cs="Courier New" w:eastAsia="Courier New"/>
      <w:sz w:val="20"/>
      <w:szCs w:val="20"/>
      <w:lang w:val="ru-RU" w:bidi="ru-RU"/>
    </w:rPr>
    <w:pPr>
      <w:ind w:left="0" w:right="0"/>
      <w:jc w:val="left"/>
      <w:spacing w:lineRule="auto" w:line="240" w:after="0" w:before="0"/>
    </w:pPr>
  </w:style>
  <w:style w:type="paragraph" w:styleId="812">
    <w:name w:val="ConsPlusDocList"/>
    <w:rPr>
      <w:rFonts w:ascii="Courier New" w:hAnsi="Courier New" w:cs="Courier New" w:eastAsia="Courier New"/>
      <w:sz w:val="20"/>
      <w:szCs w:val="20"/>
      <w:lang w:val="ru-RU" w:bidi="ru-RU"/>
    </w:rPr>
    <w:pPr>
      <w:ind w:left="0" w:right="0"/>
      <w:jc w:val="left"/>
      <w:spacing w:lineRule="auto" w:line="240" w:after="0" w:before="0"/>
    </w:pPr>
  </w:style>
  <w:style w:type="paragraph" w:styleId="813">
    <w:name w:val="ConsPlusTitlePage"/>
    <w:rPr>
      <w:rFonts w:ascii="Tahoma" w:hAnsi="Tahoma" w:cs="Tahoma" w:eastAsia="Tahoma"/>
      <w:sz w:val="20"/>
      <w:szCs w:val="20"/>
      <w:lang w:val="ru-RU" w:bidi="ru-RU"/>
    </w:rPr>
    <w:pPr>
      <w:ind w:left="0" w:right="0"/>
      <w:jc w:val="left"/>
      <w:spacing w:lineRule="auto" w:line="240" w:after="0" w:before="0"/>
    </w:pPr>
  </w:style>
  <w:style w:type="paragraph" w:styleId="814">
    <w:name w:val="ConsPlusJurTerm"/>
    <w:rPr>
      <w:rFonts w:ascii="Tahoma" w:hAnsi="Tahoma" w:cs="Tahoma" w:eastAsia="Tahoma"/>
      <w:sz w:val="26"/>
      <w:szCs w:val="26"/>
      <w:lang w:val="ru-RU" w:bidi="ru-RU"/>
    </w:rPr>
    <w:pPr>
      <w:ind w:left="0" w:right="0"/>
      <w:jc w:val="left"/>
      <w:spacing w:lineRule="auto" w:line="240" w:after="0" w:before="0"/>
    </w:pPr>
  </w:style>
  <w:style w:type="paragraph" w:styleId="815">
    <w:name w:val="ConsPlusTextList"/>
    <w:rPr>
      <w:rFonts w:ascii="Arial" w:hAnsi="Arial" w:cs="Arial" w:eastAsia="Arial"/>
      <w:sz w:val="20"/>
      <w:szCs w:val="20"/>
      <w:lang w:val="ru-RU" w:bidi="ru-RU"/>
    </w:rPr>
    <w:pPr>
      <w:ind w:left="0" w:right="0"/>
      <w:jc w:val="left"/>
      <w:spacing w:lineRule="auto" w:line="240" w:after="0" w:before="0"/>
    </w:pPr>
  </w:style>
  <w:style w:type="paragraph" w:styleId="816">
    <w:name w:val="ConsPlusTextList1"/>
    <w:rPr>
      <w:rFonts w:ascii="Arial" w:hAnsi="Arial" w:cs="Arial" w:eastAsia="Arial"/>
      <w:sz w:val="20"/>
      <w:szCs w:val="20"/>
      <w:lang w:val="ru-RU" w:bidi="ru-RU"/>
    </w:rPr>
    <w:pPr>
      <w:ind w:left="0" w:right="0"/>
      <w:jc w:val="left"/>
      <w:spacing w:lineRule="auto" w:line="240" w:after="0" w:before="0"/>
    </w:pPr>
  </w:style>
  <w:style w:type="paragraph" w:styleId="817">
    <w:name w:val="Header"/>
    <w:basedOn w:val="805"/>
    <w:unhideWhenUsed/>
    <w:rPr>
      <w:rFonts w:ascii="Calibri" w:hAnsi="Calibri" w:cs="Calibri" w:eastAsia="Calibri"/>
      <w:sz w:val="22"/>
      <w:szCs w:val="22"/>
      <w:lang w:val="ru-RU" w:bidi="ru-RU"/>
    </w:rPr>
    <w:pPr>
      <w:ind w:left="0" w:right="0"/>
      <w:jc w:val="left"/>
      <w:spacing w:lineRule="auto" w:line="276" w:after="200" w:before="0"/>
      <w:tabs>
        <w:tab w:val="center" w:pos="4677" w:leader="none"/>
        <w:tab w:val="right" w:pos="9355" w:leader="none"/>
      </w:tabs>
    </w:pPr>
  </w:style>
  <w:style w:type="character" w:styleId="818">
    <w:name w:val="Верхний колонтитул Знак"/>
    <w:basedOn w:val="806"/>
    <w:rPr>
      <w:rFonts w:ascii="Times New Roman" w:hAnsi="Times New Roman" w:cs="Times New Roman" w:eastAsia="Times New Roman"/>
      <w:sz w:val="24"/>
    </w:rPr>
  </w:style>
  <w:style w:type="paragraph" w:styleId="819">
    <w:name w:val="Footer"/>
    <w:basedOn w:val="805"/>
    <w:unhideWhenUsed/>
    <w:rPr>
      <w:rFonts w:ascii="Calibri" w:hAnsi="Calibri" w:cs="Calibri" w:eastAsia="Calibri"/>
      <w:sz w:val="22"/>
      <w:szCs w:val="22"/>
      <w:lang w:val="ru-RU" w:bidi="ru-RU"/>
    </w:rPr>
    <w:pPr>
      <w:ind w:left="0" w:right="0"/>
      <w:jc w:val="left"/>
      <w:spacing w:lineRule="auto" w:line="276" w:after="200" w:before="0"/>
      <w:tabs>
        <w:tab w:val="center" w:pos="4677" w:leader="none"/>
        <w:tab w:val="right" w:pos="9355" w:leader="none"/>
      </w:tabs>
    </w:pPr>
  </w:style>
  <w:style w:type="character" w:styleId="820">
    <w:name w:val="Нижний колонтитул Знак"/>
    <w:basedOn w:val="806"/>
    <w:rPr>
      <w:rFonts w:ascii="Times New Roman" w:hAnsi="Times New Roman" w:cs="Times New Roman" w:eastAsia="Times New Roman"/>
      <w:sz w:val="24"/>
    </w:rPr>
  </w:style>
  <w:style w:type="table" w:styleId="821">
    <w:name w:val="Table Grid"/>
    <w:basedOn w:val="807"/>
    <w:uiPriority w:val="59"/>
    <w:rPr>
      <w:rFonts w:ascii="Calibri" w:hAnsi="Calibri" w:cs="Calibri" w:eastAsia="Calibri"/>
      <w:sz w:val="20"/>
      <w:szCs w:val="20"/>
      <w:lang w:val="ru-RU" w:bidi="ru-RU"/>
    </w:rPr>
    <w:pPr>
      <w:ind w:left="0" w:right="0"/>
      <w:jc w:val="left"/>
      <w:spacing w:lineRule="auto" w:line="240" w:after="0" w:before="0"/>
    </w:pPr>
    <w:tblPr>
      <w:tblW w:w="0" w:type="auto"/>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ayout w:type="fixed"/>
      <w:tblCellMar>
        <w:left w:w="108" w:type="dxa"/>
        <w:right w:w="108" w:type="dxa"/>
      </w:tblCellMar>
    </w:tblPr>
  </w:style>
  <w:style w:type="numbering" w:styleId="4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hyperlink" Target="consultantplus://offline/ref=9ACAA89C6FF58C33776279C7CE7F366D7681C6FA2BE7B103987BABDEF03D97EEA1F0D20BC4922C16E3AF593F29C73A435AsFI" TargetMode="External"/><Relationship Id="rId16" Type="http://schemas.openxmlformats.org/officeDocument/2006/relationships/hyperlink" Target="consultantplus://offline/ref=9ACAA89C6FF58C33776279C7CE7F366D7681C6FA2BE7B103987BABDEF03D97EEA1F0D219C4CA2015E3B1583A3C916B05FBCC26DD257CB73F23F75E52s3I" TargetMode="External"/><Relationship Id="rId17" Type="http://schemas.openxmlformats.org/officeDocument/2006/relationships/hyperlink" Target="consultantplus://offline/ref=9ACAA89C6FF58C33776267CAD8136869748F9FFE21E8B854C524F083A7349DB9F4BFD35783C73F15E4AF5B38355Cs4I" TargetMode="External"/><Relationship Id="rId18" Type="http://schemas.openxmlformats.org/officeDocument/2006/relationships/hyperlink" Target="consultantplus://offline/ref=9ACAA89C6FF58C33776267CAD8136869748F90F721E9B854C524F083A7349DB9F4BFD35783C73F15E4AF5B38355Cs4I" TargetMode="External"/><Relationship Id="rId19" Type="http://schemas.openxmlformats.org/officeDocument/2006/relationships/hyperlink" Target="consultantplus://offline/ref=9ACAA89C6FF58C33776267CAD8136869748298F325EFB854C524F083A7349DB9F4BFD35783C73F15E4AF5B38355Cs4I" TargetMode="External"/><Relationship Id="rId20" Type="http://schemas.openxmlformats.org/officeDocument/2006/relationships/hyperlink" Target="consultantplus://offline/ref=9ACAA89C6FF58C33776267CAD8136869748D91F427EBB854C524F083A7349DB9F4BFD35783C73F15E4AF5B38355Cs4I" TargetMode="External"/><Relationship Id="rId21" Type="http://schemas.openxmlformats.org/officeDocument/2006/relationships/hyperlink" Target="consultantplus://offline/ref=9ACAA89C6FF58C33776267CAD8136869748C9EF725EAB854C524F083A7349DB9F4BFD35783C73F15E4AF5B38355Cs4I" TargetMode="External"/><Relationship Id="rId22" Type="http://schemas.openxmlformats.org/officeDocument/2006/relationships/hyperlink" Target="consultantplus://offline/ref=9ACAA89C6FF58C33776267CAD8136869748F9CFF27EFB854C524F083A7349DB9F4BFD35783C73F15E4AF5B38355Cs4I" TargetMode="External"/><Relationship Id="rId23" Type="http://schemas.openxmlformats.org/officeDocument/2006/relationships/hyperlink" Target="consultantplus://offline/ref=9ACAA89C6FF58C33776267CAD8136869748B9AFE27EEB854C524F083A7349DB9F4BFD35783C73F15E4AF5B38355Cs4I" TargetMode="External"/><Relationship Id="rId24" Type="http://schemas.openxmlformats.org/officeDocument/2006/relationships/hyperlink" Target="consultantplus://offline/ref=9ACAA89C6FF58C33776267CAD8136869758B9EF425ECB854C524F083A7349DB9F4BFD35783C73F15E4AF5B38355Cs4I" TargetMode="External"/><Relationship Id="rId25" Type="http://schemas.openxmlformats.org/officeDocument/2006/relationships/hyperlink" Target="consultantplus://offline/ref=9ACAA89C6FF58C33776267CAD813686974889EF322E6B854C524F083A7349DB9F4BFD35783C73F15E4AF5B38355Cs4I" TargetMode="External"/><Relationship Id="rId26" Type="http://schemas.openxmlformats.org/officeDocument/2006/relationships/hyperlink" Target="consultantplus://offline/ref=9ACAA89C6FF58C33776267CAD813686975839CFF21EAB854C524F083A7349DB9F4BFD35783C73F15E4AF5B38355Cs4I" TargetMode="External"/><Relationship Id="rId27" Type="http://schemas.openxmlformats.org/officeDocument/2006/relationships/hyperlink" Target="consultantplus://offline/ref=9ACAA89C6FF58C33776267CAD8136869748F90FF21EBB854C524F083A7349DB9F4BFD35783C73F15E4AF5B38355Cs4I" TargetMode="External"/><Relationship Id="rId28" Type="http://schemas.openxmlformats.org/officeDocument/2006/relationships/hyperlink" Target="consultantplus://offline/ref=9ACAA89C6FF58C33776279C7CE7F366D7681C6FA22EAB0009070F6D4F8649BECA6FF8D0ED1837418E0B1473830DB3841AC5Cs0I" TargetMode="External"/><Relationship Id="rId29" Type="http://schemas.openxmlformats.org/officeDocument/2006/relationships/hyperlink" Target="consultantplus://offline/ref=9ACAA89C6FF58C33776267CAD813686974829AF424E7B854C524F083A7349DB9E6BF8B5B80C72115EBBA0D6973903742AEDF25DA257EB02352s0I" TargetMode="External"/><Relationship Id="rId30" Type="http://schemas.openxmlformats.org/officeDocument/2006/relationships/hyperlink" Target="consultantplus://offline/ref=9ACAA89C6FF58C33776267CAD8136869728D9DFE22E4E55ECD7DFC81A03BC2BCE1AE8B5980D92112FDB3593A53s6I" TargetMode="External"/><Relationship Id="rId31" Type="http://schemas.openxmlformats.org/officeDocument/2006/relationships/hyperlink" Target="consultantplus://offline/ref=9ACAA89C6FF58C33776267CAD813686974829EF527E9B854C524F083A7349DB9F4BFD35783C73F15E4AF5B38355Cs4I" TargetMode="External"/><Relationship Id="rId32" Type="http://schemas.openxmlformats.org/officeDocument/2006/relationships/hyperlink" Target="consultantplus://offline/ref=9ACAA89C6FF58C33776279C7CE7F366D7681C6FA22EBB7009070F6D4F8649BECA6FF8D0ED1837418E0B1473830DB3841AC5Cs0I" TargetMode="External"/><Relationship Id="rId33" Type="http://schemas.openxmlformats.org/officeDocument/2006/relationships/hyperlink" Target="consultantplus://offline/ref=9ACAA89C6FF58C33776267CAD8136869748B91F523E8B854C524F083A7349DB9F4BFD35783C73F15E4AF5B38355Cs4I" TargetMode="External"/><Relationship Id="rId34" Type="http://schemas.openxmlformats.org/officeDocument/2006/relationships/hyperlink" Target="consultantplus://offline/ref=9ACAA89C6FF58C33776267CAD8136869748D9DFE2BEBB854C524F083A7349DB9F4BFD35783C73F15E4AF5B38355Cs4I" TargetMode="External"/><Relationship Id="rId35" Type="http://schemas.openxmlformats.org/officeDocument/2006/relationships/hyperlink" Target="consultantplus://offline/ref=9ACAA89C6FF58C33776267CAD8136869748C9BF027ECB854C524F083A7349DB9F4BFD35783C73F15E4AF5B38355Cs4I" TargetMode="External"/><Relationship Id="rId36" Type="http://schemas.openxmlformats.org/officeDocument/2006/relationships/hyperlink" Target="consultantplus://offline/ref=9ACAA89C6FF58C33776267CAD8136869748B9AF625EAB854C524F083A7349DB9F4BFD35783C73F15E4AF5B38355Cs4I" TargetMode="External"/><Relationship Id="rId37" Type="http://schemas.openxmlformats.org/officeDocument/2006/relationships/hyperlink" Target="consultantplus://offline/ref=9ACAA89C6FF58C33776267CAD8136869748C9BF027ECB854C524F083A7349DB9F4BFD35783C73F15E4AF5B38355Cs4I" TargetMode="External"/><Relationship Id="rId38" Type="http://schemas.openxmlformats.org/officeDocument/2006/relationships/hyperlink" Target="consultantplus://offline/ref=9ACAA89C6FF58C33776267CAD8136869748B9AF625EAB854C524F083A7349DB9F4BFD35783C73F15E4AF5B38355Cs4I" TargetMode="External"/><Relationship Id="rId39" Type="http://schemas.openxmlformats.org/officeDocument/2006/relationships/hyperlink" Target="consultantplus://offline/ref=9ACAA89C6FF58C33776267CAD8136869748F9FFE21E8B854C524F083A7349DB9F4BFD35783C73F15E4AF5B38355Cs4I" TargetMode="External"/><Relationship Id="rId40" Type="http://schemas.openxmlformats.org/officeDocument/2006/relationships/hyperlink" Target="consultantplus://offline/ref=9ACAA89C6FF58C33776267CAD8136869748F90F721E9B854C524F083A7349DB9F4BFD35783C73F15E4AF5B38355Cs4I" TargetMode="External"/><Relationship Id="rId41" Type="http://schemas.openxmlformats.org/officeDocument/2006/relationships/hyperlink" Target="consultantplus://offline/ref=9ACAA89C6FF58C33776267CAD8136869748298F325EFB854C524F083A7349DB9F4BFD35783C73F15E4AF5B38355Cs4I" TargetMode="External"/><Relationship Id="rId42" Type="http://schemas.openxmlformats.org/officeDocument/2006/relationships/hyperlink" Target="consultantplus://offline/ref=9ACAA89C6FF58C33776267CAD8136869748D9DFE2BEBB854C524F083A7349DB9F4BFD35783C73F15E4AF5B38355Cs4I" TargetMode="External"/><Relationship Id="rId43" Type="http://schemas.openxmlformats.org/officeDocument/2006/relationships/hyperlink" Target="consultantplus://offline/ref=9ACAA89C6FF58C33776267CAD8136869748F9FFE21E8B854C524F083A7349DB9F4BFD35783C73F15E4AF5B38355Cs4I" TargetMode="External"/><Relationship Id="rId44" Type="http://schemas.openxmlformats.org/officeDocument/2006/relationships/hyperlink" Target="consultantplus://offline/ref=9ACAA89C6FF58C33776267CAD8136869748298F325EFB854C524F083A7349DB9E6BF8B5B80C72115EABA0D6973903742AEDF25DA257EB02352s0I" TargetMode="External"/><Relationship Id="rId45" Type="http://schemas.openxmlformats.org/officeDocument/2006/relationships/hyperlink" Target="consultantplus://offline/ref=9ACAA89C6FF58C33776267CAD813686974899BF221ECB854C524F083A7349DB9F4BFD35783C73F15E4AF5B38355Cs4I" TargetMode="External"/><Relationship Id="rId46" Type="http://schemas.openxmlformats.org/officeDocument/2006/relationships/hyperlink" Target="consultantplus://offline/ref=9ACAA89C6FF58C33776267CAD8136869748C9BF027ECB854C524F083A7349DB9F4BFD35783C73F15E4AF5B38355Cs4I" TargetMode="External"/><Relationship Id="rId47" Type="http://schemas.openxmlformats.org/officeDocument/2006/relationships/hyperlink" Target="consultantplus://offline/ref=9ACAA89C6FF58C33776267CAD8136869748B9AF625EAB854C524F083A7349DB9F4BFD35783C73F15E4AF5B38355Cs4I" TargetMode="External"/><Relationship Id="rId48" Type="http://schemas.openxmlformats.org/officeDocument/2006/relationships/hyperlink" Target="consultantplus://offline/ref=9ACAA89C6FF58C33776279C7CE7F366D7681C6FA22EBB60A9B74F6D4F8649BECA6FF8D0EC3832C14E3B159383ECE6E10EA9428DE3B62B0263FF55C2052s4I" TargetMode="External"/><Relationship Id="rId49" Type="http://schemas.openxmlformats.org/officeDocument/2006/relationships/hyperlink" Target="consultantplus://offline/ref=9ACAA89C6FF58C33776267CAD8136869748D9FF225E7B854C524F083A7349DB9F4BFD35783C73F15E4AF5B38355Cs4I" TargetMode="External"/><Relationship Id="rId50" Type="http://schemas.openxmlformats.org/officeDocument/2006/relationships/hyperlink" Target="consultantplus://offline/ref=9ACAA89C6FF58C33776267CAD813686974829AF02AEFB854C524F083A7349DB9F4BFD35783C73F15E4AF5B38355Cs4I" TargetMode="External"/><Relationship Id="rId51" Type="http://schemas.openxmlformats.org/officeDocument/2006/relationships/hyperlink" Target="consultantplus://offline/ref=9ACAA89C6FF58C33776267CAD813686974889BF623EDB854C524F083A7349DB9E6BF8B5B80C72114E4BA0D6973903742AEDF25DA257EB02352s0I" TargetMode="External"/><Relationship Id="rId52" Type="http://schemas.openxmlformats.org/officeDocument/2006/relationships/hyperlink" Target="consultantplus://offline/ref=9ACAA89C6FF58C33776267CAD813686974889BF623EDB854C524F083A7349DB9E6BF8B5B80C72114E4BA0D6973903742AEDF25DA257EB02352s0I" TargetMode="External"/><Relationship Id="rId53" Type="http://schemas.openxmlformats.org/officeDocument/2006/relationships/hyperlink" Target="consultantplus://offline/ref=9ACAA89C6FF58C33776267CAD8136869748D91F427EBB854C524F083A7349DB9E6BF8B5B80C72114E5BA0D6973903742AEDF25DA257EB02352s0I" TargetMode="External"/><Relationship Id="rId54" Type="http://schemas.openxmlformats.org/officeDocument/2006/relationships/hyperlink" Target="consultantplus://offline/ref=9ACAA89C6FF58C33776267CAD8136869748291F321E8B854C524F083A7349DB9F4BFD35783C73F15E4AF5B38355Cs4I" TargetMode="External"/><Relationship Id="rId55" Type="http://schemas.openxmlformats.org/officeDocument/2006/relationships/hyperlink" Target="consultantplus://offline/ref=9ACAA89C6FF58C33776267CAD8136869748290F22AEEB854C524F083A7349DB9F4BFD35783C73F15E4AF5B38355Cs4I" TargetMode="External"/><Relationship Id="rId56" Type="http://schemas.openxmlformats.org/officeDocument/2006/relationships/hyperlink" Target="consultantplus://offline/ref=9ACAA89C6FF58C33776267CAD813686974829CFF23EBB854C524F083A7349DB9E6BF8B5B80C62113E2BA0D6973903742AEDF25DA257EB02352s0I" TargetMode="External"/><Relationship Id="rId57" Type="http://schemas.openxmlformats.org/officeDocument/2006/relationships/hyperlink" Target="consultantplus://offline/ref=9ACAA89C6FF58C33776267CAD8136869748B98FF23EFB854C524F083A7349DB9E6BF8B5B80C72115EABA0D6973903742AEDF25DA257EB02352s0I" TargetMode="External"/><Relationship Id="rId58" Type="http://schemas.openxmlformats.org/officeDocument/2006/relationships/hyperlink" Target="consultantplus://offline/ref=9ACAA89C6FF58C33776267CAD8136869748B98FF23EFB854C524F083A7349DB9F4BFD35783C73F15E4AF5B38355Cs4I" TargetMode="External"/><Relationship Id="rId59" Type="http://schemas.openxmlformats.org/officeDocument/2006/relationships/hyperlink" Target="consultantplus://offline/ref=9ACAA89C6FF58C33776267CAD8136869748290F22AEEB854C524F083A7349DB9F4BFD35783C73F15E4AF5B38355Cs4I"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s>
</ds:datastoreItem>
</file>

<file path=docProps/app.xml><?xml version="1.0" encoding="utf-8"?>
<Properties xmlns="http://schemas.openxmlformats.org/officeDocument/2006/extended-properties" xmlns:vt="http://schemas.openxmlformats.org/officeDocument/2006/docPropsVTypes">
  <Application>Р7-Офис/6.4.2.28</Application>
  <DocSecurity>0</DocSecurity>
  <HyperlinksChanged>false</HyperlinksChanged>
  <LinksUpToDate>false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Законодательной Думы Томской области от 01.07.2021 N 2988&amp;quot;О внесении изменения в постановление Законодательной Думы Томской области от 26 марта 2015 года N 2580 &amp;quot;Об утверждении Стратегии социально-экономического развития Томской области до 2</dc:title>
  <dc:creator>Татьяна Николаевна Каташова</dc:creator>
  <cp:revision>1</cp:revision>
  <dcterms:modified xsi:type="dcterms:W3CDTF">2022-04-01T08:27:53Z</dcterms:modified>
</cp:coreProperties>
</file>